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E0D" w:rsidRDefault="0097427D">
      <w:pPr>
        <w:widowControl w:val="0"/>
        <w:rPr>
          <w:sz w:val="72"/>
        </w:rPr>
      </w:pPr>
      <w:r>
        <w:rPr>
          <w:noProof/>
          <w:sz w:val="72"/>
        </w:rPr>
        <w:drawing>
          <wp:inline distT="0" distB="0" distL="0" distR="0">
            <wp:extent cx="3609975" cy="295275"/>
            <wp:effectExtent l="19050" t="0" r="9525" b="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cstate="print"/>
                    <a:srcRect/>
                    <a:stretch>
                      <a:fillRect/>
                    </a:stretch>
                  </pic:blipFill>
                  <pic:spPr bwMode="auto">
                    <a:xfrm>
                      <a:off x="0" y="0"/>
                      <a:ext cx="3609975" cy="295275"/>
                    </a:xfrm>
                    <a:prstGeom prst="rect">
                      <a:avLst/>
                    </a:prstGeom>
                    <a:noFill/>
                    <a:ln w="9525">
                      <a:noFill/>
                      <a:miter lim="800000"/>
                      <a:headEnd/>
                      <a:tailEnd/>
                    </a:ln>
                  </pic:spPr>
                </pic:pic>
              </a:graphicData>
            </a:graphic>
          </wp:inline>
        </w:drawing>
      </w:r>
    </w:p>
    <w:p w:rsidR="00EC1E0D" w:rsidRDefault="00EC1E0D">
      <w:pPr>
        <w:widowControl w:val="0"/>
        <w:rPr>
          <w:rFonts w:ascii="Arial" w:hAnsi="Arial"/>
          <w:sz w:val="16"/>
        </w:rPr>
      </w:pPr>
    </w:p>
    <w:p w:rsidR="00EC1E0D" w:rsidRPr="00C32F65" w:rsidRDefault="00EC1E0D">
      <w:pPr>
        <w:pStyle w:val="Heading2"/>
        <w:rPr>
          <w:rFonts w:ascii="Times New Roman" w:hAnsi="Times New Roman"/>
          <w:color w:val="0000FF"/>
          <w:sz w:val="32"/>
          <w:szCs w:val="32"/>
        </w:rPr>
      </w:pPr>
      <w:r>
        <w:rPr>
          <w:rFonts w:ascii="Times New Roman" w:hAnsi="Times New Roman"/>
        </w:rPr>
        <w:t>Sponsored Projects Accounting</w:t>
      </w:r>
      <w:r w:rsidR="00C32F65">
        <w:rPr>
          <w:rFonts w:ascii="Times New Roman" w:hAnsi="Times New Roman"/>
        </w:rPr>
        <w:tab/>
      </w:r>
      <w:r w:rsidR="00C32F65">
        <w:rPr>
          <w:rFonts w:ascii="Times New Roman" w:hAnsi="Times New Roman"/>
        </w:rPr>
        <w:tab/>
      </w:r>
      <w:r w:rsidR="00C32F65">
        <w:rPr>
          <w:rFonts w:ascii="Times New Roman" w:hAnsi="Times New Roman"/>
        </w:rPr>
        <w:tab/>
      </w:r>
      <w:r w:rsidR="00C32F65">
        <w:rPr>
          <w:rFonts w:ascii="Times New Roman" w:hAnsi="Times New Roman"/>
        </w:rPr>
        <w:tab/>
      </w:r>
      <w:r w:rsidR="00C32F65">
        <w:rPr>
          <w:rFonts w:ascii="Times New Roman" w:hAnsi="Times New Roman"/>
        </w:rPr>
        <w:tab/>
      </w:r>
      <w:r w:rsidR="00C32F65">
        <w:rPr>
          <w:rFonts w:ascii="Times New Roman" w:hAnsi="Times New Roman"/>
        </w:rPr>
        <w:tab/>
      </w:r>
    </w:p>
    <w:p w:rsidR="00EC1E0D" w:rsidRDefault="00EC1E0D">
      <w:pPr>
        <w:widowControl w:val="0"/>
        <w:rPr>
          <w:rFonts w:asciiTheme="minorHAnsi" w:hAnsiTheme="minorHAnsi"/>
        </w:rPr>
      </w:pPr>
    </w:p>
    <w:p w:rsidR="001F6EB0" w:rsidRPr="00130441" w:rsidRDefault="001F6EB0">
      <w:pPr>
        <w:widowControl w:val="0"/>
        <w:rPr>
          <w:rFonts w:asciiTheme="minorHAnsi" w:hAnsiTheme="minorHAnsi"/>
        </w:rPr>
      </w:pPr>
    </w:p>
    <w:p w:rsidR="00FA1756" w:rsidRDefault="00FA1756">
      <w:pPr>
        <w:widowControl w:val="0"/>
        <w:tabs>
          <w:tab w:val="left" w:pos="1260"/>
          <w:tab w:val="left" w:pos="1530"/>
        </w:tabs>
        <w:rPr>
          <w:rFonts w:asciiTheme="minorHAnsi" w:hAnsiTheme="minorHAnsi"/>
          <w:b/>
        </w:rPr>
      </w:pPr>
    </w:p>
    <w:p w:rsidR="00EC1E0D" w:rsidRPr="00130441" w:rsidRDefault="00EC1E0D">
      <w:pPr>
        <w:widowControl w:val="0"/>
        <w:tabs>
          <w:tab w:val="left" w:pos="1260"/>
          <w:tab w:val="left" w:pos="1530"/>
        </w:tabs>
        <w:rPr>
          <w:rFonts w:asciiTheme="minorHAnsi" w:hAnsiTheme="minorHAnsi"/>
        </w:rPr>
      </w:pPr>
      <w:r w:rsidRPr="00130441">
        <w:rPr>
          <w:rFonts w:asciiTheme="minorHAnsi" w:hAnsiTheme="minorHAnsi"/>
          <w:b/>
        </w:rPr>
        <w:t>TO:</w:t>
      </w:r>
      <w:r w:rsidRPr="00130441">
        <w:rPr>
          <w:rFonts w:asciiTheme="minorHAnsi" w:hAnsiTheme="minorHAnsi"/>
        </w:rPr>
        <w:tab/>
        <w:t>Business Managers and Research Administrators</w:t>
      </w:r>
    </w:p>
    <w:p w:rsidR="00EC1E0D" w:rsidRPr="00130441" w:rsidRDefault="00EC1E0D">
      <w:pPr>
        <w:widowControl w:val="0"/>
        <w:rPr>
          <w:rFonts w:asciiTheme="minorHAnsi" w:hAnsiTheme="minorHAnsi"/>
        </w:rPr>
      </w:pPr>
    </w:p>
    <w:p w:rsidR="00EC1E0D" w:rsidRPr="00130441" w:rsidRDefault="00EC1E0D">
      <w:pPr>
        <w:widowControl w:val="0"/>
        <w:tabs>
          <w:tab w:val="left" w:pos="1260"/>
          <w:tab w:val="left" w:pos="1440"/>
        </w:tabs>
        <w:rPr>
          <w:rFonts w:asciiTheme="minorHAnsi" w:hAnsiTheme="minorHAnsi"/>
        </w:rPr>
      </w:pPr>
      <w:r w:rsidRPr="00130441">
        <w:rPr>
          <w:rFonts w:asciiTheme="minorHAnsi" w:hAnsiTheme="minorHAnsi"/>
          <w:b/>
        </w:rPr>
        <w:t>FROM:</w:t>
      </w:r>
      <w:r w:rsidRPr="00130441">
        <w:rPr>
          <w:rFonts w:asciiTheme="minorHAnsi" w:hAnsiTheme="minorHAnsi"/>
        </w:rPr>
        <w:tab/>
        <w:t>Joseph M. Gindhart,</w:t>
      </w:r>
      <w:r w:rsidR="00204E59">
        <w:rPr>
          <w:rFonts w:asciiTheme="minorHAnsi" w:hAnsiTheme="minorHAnsi"/>
        </w:rPr>
        <w:t xml:space="preserve"> </w:t>
      </w:r>
      <w:r w:rsidR="0015317D">
        <w:rPr>
          <w:rFonts w:asciiTheme="minorHAnsi" w:hAnsiTheme="minorHAnsi"/>
        </w:rPr>
        <w:t xml:space="preserve">Associate </w:t>
      </w:r>
      <w:r w:rsidR="00D768B0" w:rsidRPr="00130441">
        <w:rPr>
          <w:rFonts w:asciiTheme="minorHAnsi" w:hAnsiTheme="minorHAnsi"/>
        </w:rPr>
        <w:t>Vice Chancellor for</w:t>
      </w:r>
      <w:r w:rsidR="00204E59">
        <w:rPr>
          <w:rFonts w:asciiTheme="minorHAnsi" w:hAnsiTheme="minorHAnsi"/>
        </w:rPr>
        <w:t xml:space="preserve"> Finance &amp; Sponsored Projects</w:t>
      </w:r>
    </w:p>
    <w:p w:rsidR="00EC1E0D" w:rsidRPr="00130441" w:rsidRDefault="00EC1E0D">
      <w:pPr>
        <w:widowControl w:val="0"/>
        <w:rPr>
          <w:rFonts w:asciiTheme="minorHAnsi" w:hAnsiTheme="minorHAnsi"/>
        </w:rPr>
      </w:pPr>
    </w:p>
    <w:p w:rsidR="00EC1E0D" w:rsidRPr="00130441" w:rsidRDefault="00EC1E0D">
      <w:pPr>
        <w:widowControl w:val="0"/>
        <w:tabs>
          <w:tab w:val="left" w:pos="1260"/>
        </w:tabs>
        <w:rPr>
          <w:rFonts w:asciiTheme="minorHAnsi" w:hAnsiTheme="minorHAnsi"/>
        </w:rPr>
      </w:pPr>
      <w:r w:rsidRPr="00130441">
        <w:rPr>
          <w:rFonts w:asciiTheme="minorHAnsi" w:hAnsiTheme="minorHAnsi"/>
          <w:b/>
        </w:rPr>
        <w:t>DATE:</w:t>
      </w:r>
      <w:r w:rsidRPr="00130441">
        <w:rPr>
          <w:rFonts w:asciiTheme="minorHAnsi" w:hAnsiTheme="minorHAnsi"/>
          <w:b/>
        </w:rPr>
        <w:tab/>
      </w:r>
      <w:r w:rsidR="00664BD9" w:rsidRPr="00C90C51">
        <w:rPr>
          <w:rFonts w:asciiTheme="minorHAnsi" w:hAnsiTheme="minorHAnsi"/>
          <w:color w:val="0000FF"/>
        </w:rPr>
        <w:t>February</w:t>
      </w:r>
      <w:r w:rsidR="008D7998" w:rsidRPr="00C90C51">
        <w:rPr>
          <w:rFonts w:asciiTheme="minorHAnsi" w:hAnsiTheme="minorHAnsi"/>
          <w:color w:val="0000FF"/>
        </w:rPr>
        <w:t xml:space="preserve"> </w:t>
      </w:r>
      <w:r w:rsidR="007E51C6" w:rsidRPr="00C90C51">
        <w:rPr>
          <w:rFonts w:asciiTheme="minorHAnsi" w:hAnsiTheme="minorHAnsi"/>
          <w:color w:val="0000FF"/>
        </w:rPr>
        <w:t>20</w:t>
      </w:r>
      <w:r w:rsidR="001006F5" w:rsidRPr="00C90C51">
        <w:rPr>
          <w:rFonts w:asciiTheme="minorHAnsi" w:hAnsiTheme="minorHAnsi"/>
          <w:color w:val="0000FF"/>
        </w:rPr>
        <w:t>22</w:t>
      </w:r>
    </w:p>
    <w:p w:rsidR="00EC1E0D" w:rsidRPr="00130441" w:rsidRDefault="00EC1E0D">
      <w:pPr>
        <w:widowControl w:val="0"/>
        <w:rPr>
          <w:rFonts w:asciiTheme="minorHAnsi" w:hAnsiTheme="minorHAnsi"/>
        </w:rPr>
      </w:pPr>
    </w:p>
    <w:p w:rsidR="00EC1E0D" w:rsidRPr="00130441" w:rsidRDefault="00EC1E0D">
      <w:pPr>
        <w:widowControl w:val="0"/>
        <w:tabs>
          <w:tab w:val="left" w:pos="1260"/>
          <w:tab w:val="left" w:pos="1440"/>
          <w:tab w:val="left" w:pos="1710"/>
        </w:tabs>
        <w:rPr>
          <w:rFonts w:asciiTheme="minorHAnsi" w:hAnsiTheme="minorHAnsi"/>
        </w:rPr>
      </w:pPr>
      <w:r w:rsidRPr="00130441">
        <w:rPr>
          <w:rFonts w:asciiTheme="minorHAnsi" w:hAnsiTheme="minorHAnsi"/>
          <w:b/>
        </w:rPr>
        <w:t>SUBJECT:</w:t>
      </w:r>
      <w:r w:rsidRPr="00130441">
        <w:rPr>
          <w:rFonts w:asciiTheme="minorHAnsi" w:hAnsiTheme="minorHAnsi"/>
        </w:rPr>
        <w:tab/>
        <w:t>NIH Salary Cap for Federal Fiscal Year 20</w:t>
      </w:r>
      <w:r w:rsidR="001006F5">
        <w:rPr>
          <w:rFonts w:asciiTheme="minorHAnsi" w:hAnsiTheme="minorHAnsi"/>
        </w:rPr>
        <w:t>22</w:t>
      </w:r>
      <w:r w:rsidR="00811860">
        <w:rPr>
          <w:rFonts w:asciiTheme="minorHAnsi" w:hAnsiTheme="minorHAnsi"/>
        </w:rPr>
        <w:t xml:space="preserve"> (v1.</w:t>
      </w:r>
      <w:r w:rsidR="001F4319">
        <w:rPr>
          <w:rFonts w:asciiTheme="minorHAnsi" w:hAnsiTheme="minorHAnsi"/>
        </w:rPr>
        <w:t>3</w:t>
      </w:r>
      <w:r w:rsidR="00811860">
        <w:rPr>
          <w:rFonts w:asciiTheme="minorHAnsi" w:hAnsiTheme="minorHAnsi"/>
        </w:rPr>
        <w:t>)</w:t>
      </w:r>
    </w:p>
    <w:p w:rsidR="00EC1E0D" w:rsidRPr="00130441" w:rsidRDefault="00EC1E0D">
      <w:pPr>
        <w:widowControl w:val="0"/>
        <w:rPr>
          <w:rFonts w:asciiTheme="minorHAnsi" w:hAnsiTheme="minorHAnsi"/>
          <w:u w:val="single"/>
        </w:rPr>
      </w:pPr>
      <w:r w:rsidRPr="00130441">
        <w:rPr>
          <w:rFonts w:asciiTheme="minorHAnsi" w:hAnsiTheme="minorHAnsi"/>
          <w:u w:val="single"/>
        </w:rPr>
        <w:t xml:space="preserve">                                                                                                                                            </w:t>
      </w:r>
    </w:p>
    <w:p w:rsidR="007925CA" w:rsidRDefault="007925CA">
      <w:pPr>
        <w:tabs>
          <w:tab w:val="left" w:pos="8550"/>
        </w:tabs>
        <w:suppressAutoHyphens/>
        <w:rPr>
          <w:rFonts w:asciiTheme="minorHAnsi" w:hAnsiTheme="minorHAnsi"/>
        </w:rPr>
      </w:pPr>
    </w:p>
    <w:p w:rsidR="007925CA" w:rsidRDefault="007925CA">
      <w:pPr>
        <w:tabs>
          <w:tab w:val="left" w:pos="8550"/>
        </w:tabs>
        <w:suppressAutoHyphens/>
        <w:rPr>
          <w:rFonts w:asciiTheme="minorHAnsi" w:hAnsiTheme="minorHAnsi"/>
        </w:rPr>
      </w:pPr>
    </w:p>
    <w:p w:rsidR="004E7F24" w:rsidRPr="006960A0" w:rsidRDefault="006C5696">
      <w:pPr>
        <w:tabs>
          <w:tab w:val="left" w:pos="8550"/>
        </w:tabs>
        <w:suppressAutoHyphens/>
        <w:rPr>
          <w:rFonts w:asciiTheme="minorHAnsi" w:hAnsiTheme="minorHAnsi"/>
          <w:color w:val="0000FF"/>
        </w:rPr>
      </w:pPr>
      <w:r w:rsidRPr="00130441">
        <w:rPr>
          <w:rFonts w:asciiTheme="minorHAnsi" w:hAnsiTheme="minorHAnsi"/>
        </w:rPr>
        <w:t>T</w:t>
      </w:r>
      <w:r w:rsidR="009C7C36" w:rsidRPr="00130441">
        <w:rPr>
          <w:rFonts w:asciiTheme="minorHAnsi" w:hAnsiTheme="minorHAnsi"/>
        </w:rPr>
        <w:t>he maximum compensation level for individuals working on grant</w:t>
      </w:r>
      <w:r w:rsidR="00EB1CFE" w:rsidRPr="00130441">
        <w:rPr>
          <w:rFonts w:asciiTheme="minorHAnsi" w:hAnsiTheme="minorHAnsi"/>
        </w:rPr>
        <w:t>s</w:t>
      </w:r>
      <w:r w:rsidR="009C7C36" w:rsidRPr="00130441">
        <w:rPr>
          <w:rFonts w:asciiTheme="minorHAnsi" w:hAnsiTheme="minorHAnsi"/>
        </w:rPr>
        <w:t xml:space="preserve"> and contracts from t</w:t>
      </w:r>
      <w:r w:rsidR="00EC1E0D" w:rsidRPr="00130441">
        <w:rPr>
          <w:rFonts w:asciiTheme="minorHAnsi" w:hAnsiTheme="minorHAnsi"/>
        </w:rPr>
        <w:t>he National Institutes of Health (NIH)</w:t>
      </w:r>
      <w:r w:rsidR="00B42DB3">
        <w:rPr>
          <w:rFonts w:asciiTheme="minorHAnsi" w:hAnsiTheme="minorHAnsi"/>
        </w:rPr>
        <w:t xml:space="preserve"> and all other Department of Health and Human Services (DHHS) Agencies </w:t>
      </w:r>
      <w:r w:rsidR="00B42DB3" w:rsidRPr="00B42DB3">
        <w:rPr>
          <w:rFonts w:asciiTheme="minorHAnsi" w:hAnsiTheme="minorHAnsi"/>
        </w:rPr>
        <w:t>(</w:t>
      </w:r>
      <w:r w:rsidR="00B42DB3" w:rsidRPr="00044393">
        <w:rPr>
          <w:rFonts w:asciiTheme="minorHAnsi" w:hAnsiTheme="minorHAnsi"/>
        </w:rPr>
        <w:t>includes ACF, AHRQ, AoA, ATDSDR, CDC, CMS, HRSA, HIS, NIH, NIS and SAMHSA)</w:t>
      </w:r>
      <w:r w:rsidR="00EC1E0D" w:rsidRPr="00044393">
        <w:rPr>
          <w:rFonts w:asciiTheme="minorHAnsi" w:hAnsiTheme="minorHAnsi"/>
        </w:rPr>
        <w:t xml:space="preserve"> </w:t>
      </w:r>
      <w:r w:rsidR="000209F7" w:rsidRPr="00130441">
        <w:rPr>
          <w:rFonts w:asciiTheme="minorHAnsi" w:hAnsiTheme="minorHAnsi"/>
        </w:rPr>
        <w:t xml:space="preserve">has been </w:t>
      </w:r>
      <w:r w:rsidR="008F70D4">
        <w:rPr>
          <w:rFonts w:asciiTheme="minorHAnsi" w:hAnsiTheme="minorHAnsi"/>
        </w:rPr>
        <w:t>increased</w:t>
      </w:r>
      <w:r w:rsidR="005E23DE" w:rsidRPr="00130441">
        <w:rPr>
          <w:rFonts w:asciiTheme="minorHAnsi" w:hAnsiTheme="minorHAnsi"/>
        </w:rPr>
        <w:t xml:space="preserve"> for F</w:t>
      </w:r>
      <w:r w:rsidR="000209F7" w:rsidRPr="00130441">
        <w:rPr>
          <w:rFonts w:asciiTheme="minorHAnsi" w:hAnsiTheme="minorHAnsi"/>
        </w:rPr>
        <w:t xml:space="preserve">ederal Fiscal </w:t>
      </w:r>
      <w:r w:rsidR="005E23DE" w:rsidRPr="00130441">
        <w:rPr>
          <w:rFonts w:asciiTheme="minorHAnsi" w:hAnsiTheme="minorHAnsi"/>
        </w:rPr>
        <w:t>Y</w:t>
      </w:r>
      <w:r w:rsidR="000209F7" w:rsidRPr="00130441">
        <w:rPr>
          <w:rFonts w:asciiTheme="minorHAnsi" w:hAnsiTheme="minorHAnsi"/>
        </w:rPr>
        <w:t>ear (FFY)</w:t>
      </w:r>
      <w:r w:rsidR="005E23DE" w:rsidRPr="00130441">
        <w:rPr>
          <w:rFonts w:asciiTheme="minorHAnsi" w:hAnsiTheme="minorHAnsi"/>
        </w:rPr>
        <w:t xml:space="preserve"> 20</w:t>
      </w:r>
      <w:r w:rsidR="00805E0A">
        <w:rPr>
          <w:rFonts w:asciiTheme="minorHAnsi" w:hAnsiTheme="minorHAnsi"/>
        </w:rPr>
        <w:t>2</w:t>
      </w:r>
      <w:r w:rsidR="001006F5">
        <w:rPr>
          <w:rFonts w:asciiTheme="minorHAnsi" w:hAnsiTheme="minorHAnsi"/>
        </w:rPr>
        <w:t>2</w:t>
      </w:r>
      <w:r w:rsidR="0046434A" w:rsidRPr="00130441">
        <w:rPr>
          <w:rFonts w:asciiTheme="minorHAnsi" w:hAnsiTheme="minorHAnsi"/>
        </w:rPr>
        <w:t xml:space="preserve"> </w:t>
      </w:r>
      <w:r w:rsidR="00DE6311" w:rsidRPr="00130441">
        <w:rPr>
          <w:rFonts w:asciiTheme="minorHAnsi" w:hAnsiTheme="minorHAnsi"/>
          <w:color w:val="0000FF"/>
        </w:rPr>
        <w:t>per</w:t>
      </w:r>
      <w:r w:rsidR="004E7F24" w:rsidRPr="00130441">
        <w:rPr>
          <w:rFonts w:asciiTheme="minorHAnsi" w:hAnsiTheme="minorHAnsi"/>
          <w:color w:val="0000FF"/>
        </w:rPr>
        <w:t xml:space="preserve"> the</w:t>
      </w:r>
      <w:r w:rsidR="00DE6311" w:rsidRPr="00130441">
        <w:rPr>
          <w:rFonts w:asciiTheme="minorHAnsi" w:hAnsiTheme="minorHAnsi"/>
          <w:color w:val="0000FF"/>
        </w:rPr>
        <w:t xml:space="preserve"> NIH</w:t>
      </w:r>
      <w:r w:rsidR="008C56B9">
        <w:rPr>
          <w:rFonts w:asciiTheme="minorHAnsi" w:hAnsiTheme="minorHAnsi"/>
          <w:color w:val="0000FF"/>
        </w:rPr>
        <w:t xml:space="preserve"> </w:t>
      </w:r>
      <w:r w:rsidR="00DE6311" w:rsidRPr="00130441">
        <w:rPr>
          <w:rFonts w:asciiTheme="minorHAnsi" w:hAnsiTheme="minorHAnsi"/>
          <w:color w:val="0000FF"/>
        </w:rPr>
        <w:t xml:space="preserve">Guide Notice </w:t>
      </w:r>
      <w:r w:rsidR="008E2005" w:rsidRPr="00130441">
        <w:rPr>
          <w:rFonts w:asciiTheme="minorHAnsi" w:hAnsiTheme="minorHAnsi"/>
          <w:color w:val="0000FF"/>
        </w:rPr>
        <w:t>NOT-</w:t>
      </w:r>
      <w:r w:rsidR="00805E0A">
        <w:rPr>
          <w:rFonts w:asciiTheme="minorHAnsi" w:hAnsiTheme="minorHAnsi"/>
          <w:color w:val="0000FF"/>
        </w:rPr>
        <w:t>OD-</w:t>
      </w:r>
      <w:r w:rsidR="009962E3">
        <w:rPr>
          <w:rFonts w:asciiTheme="minorHAnsi" w:hAnsiTheme="minorHAnsi"/>
          <w:color w:val="0000FF"/>
        </w:rPr>
        <w:t>2</w:t>
      </w:r>
      <w:r w:rsidR="001006F5">
        <w:rPr>
          <w:rFonts w:asciiTheme="minorHAnsi" w:hAnsiTheme="minorHAnsi"/>
          <w:color w:val="0000FF"/>
        </w:rPr>
        <w:t>2</w:t>
      </w:r>
      <w:r w:rsidR="009962E3">
        <w:rPr>
          <w:rFonts w:asciiTheme="minorHAnsi" w:hAnsiTheme="minorHAnsi"/>
          <w:color w:val="0000FF"/>
        </w:rPr>
        <w:t>-</w:t>
      </w:r>
      <w:r w:rsidR="00100715">
        <w:rPr>
          <w:rFonts w:asciiTheme="minorHAnsi" w:hAnsiTheme="minorHAnsi"/>
          <w:color w:val="0000FF"/>
        </w:rPr>
        <w:t>0</w:t>
      </w:r>
      <w:r w:rsidR="001006F5">
        <w:rPr>
          <w:rFonts w:asciiTheme="minorHAnsi" w:hAnsiTheme="minorHAnsi"/>
          <w:color w:val="0000FF"/>
        </w:rPr>
        <w:t>76</w:t>
      </w:r>
      <w:r w:rsidR="004E7F24" w:rsidRPr="00AE657B">
        <w:rPr>
          <w:rFonts w:asciiTheme="minorHAnsi" w:hAnsiTheme="minorHAnsi"/>
          <w:color w:val="0000FF"/>
        </w:rPr>
        <w:t xml:space="preserve"> issued on </w:t>
      </w:r>
      <w:r w:rsidR="001006F5">
        <w:rPr>
          <w:rFonts w:asciiTheme="minorHAnsi" w:hAnsiTheme="minorHAnsi"/>
          <w:color w:val="0000FF"/>
        </w:rPr>
        <w:t>2</w:t>
      </w:r>
      <w:r w:rsidR="00664BD9">
        <w:rPr>
          <w:rFonts w:asciiTheme="minorHAnsi" w:hAnsiTheme="minorHAnsi"/>
          <w:color w:val="0000FF"/>
        </w:rPr>
        <w:t>/</w:t>
      </w:r>
      <w:r w:rsidR="001006F5">
        <w:rPr>
          <w:rFonts w:asciiTheme="minorHAnsi" w:hAnsiTheme="minorHAnsi"/>
          <w:color w:val="0000FF"/>
        </w:rPr>
        <w:t>10</w:t>
      </w:r>
      <w:r w:rsidR="00664BD9">
        <w:rPr>
          <w:rFonts w:asciiTheme="minorHAnsi" w:hAnsiTheme="minorHAnsi"/>
          <w:color w:val="0000FF"/>
        </w:rPr>
        <w:t>/202</w:t>
      </w:r>
      <w:r w:rsidR="001006F5">
        <w:rPr>
          <w:rFonts w:asciiTheme="minorHAnsi" w:hAnsiTheme="minorHAnsi"/>
          <w:color w:val="0000FF"/>
        </w:rPr>
        <w:t>2</w:t>
      </w:r>
      <w:r w:rsidR="00EC1E0D" w:rsidRPr="00AE657B">
        <w:rPr>
          <w:rFonts w:asciiTheme="minorHAnsi" w:hAnsiTheme="minorHAnsi"/>
          <w:color w:val="0000FF"/>
        </w:rPr>
        <w:t>.</w:t>
      </w:r>
      <w:r w:rsidR="00596C71" w:rsidRPr="00AE657B">
        <w:rPr>
          <w:rFonts w:asciiTheme="minorHAnsi" w:hAnsiTheme="minorHAnsi"/>
          <w:color w:val="0000FF"/>
        </w:rPr>
        <w:t xml:space="preserve"> </w:t>
      </w:r>
      <w:r w:rsidR="00100715">
        <w:rPr>
          <w:rFonts w:asciiTheme="minorHAnsi" w:hAnsiTheme="minorHAnsi"/>
          <w:color w:val="0000FF"/>
        </w:rPr>
        <w:t xml:space="preserve">  The </w:t>
      </w:r>
      <w:r w:rsidR="00100715" w:rsidRPr="00100715">
        <w:rPr>
          <w:rFonts w:asciiTheme="minorHAnsi" w:hAnsiTheme="minorHAnsi"/>
          <w:color w:val="0000FF"/>
        </w:rPr>
        <w:t>Consolidated Appropriations Act, 2021 (Public Law 116-260)</w:t>
      </w:r>
      <w:r w:rsidR="00044393" w:rsidRPr="00E7649D">
        <w:rPr>
          <w:rFonts w:asciiTheme="minorHAnsi" w:hAnsiTheme="minorHAnsi"/>
          <w:color w:val="0000FF"/>
          <w:spacing w:val="3"/>
        </w:rPr>
        <w:t xml:space="preserve"> </w:t>
      </w:r>
      <w:r w:rsidR="00EC1E0D" w:rsidRPr="00130441">
        <w:rPr>
          <w:rFonts w:asciiTheme="minorHAnsi" w:hAnsiTheme="minorHAnsi"/>
        </w:rPr>
        <w:t>restrict</w:t>
      </w:r>
      <w:r w:rsidR="000209F7" w:rsidRPr="00130441">
        <w:rPr>
          <w:rFonts w:asciiTheme="minorHAnsi" w:hAnsiTheme="minorHAnsi"/>
        </w:rPr>
        <w:t>s</w:t>
      </w:r>
      <w:r w:rsidR="00EC1E0D" w:rsidRPr="00130441">
        <w:rPr>
          <w:rFonts w:asciiTheme="minorHAnsi" w:hAnsiTheme="minorHAnsi"/>
        </w:rPr>
        <w:t xml:space="preserve"> the amount of direct salary of an individual under an NIH</w:t>
      </w:r>
      <w:r w:rsidR="000A15DC" w:rsidRPr="00130441">
        <w:rPr>
          <w:rFonts w:asciiTheme="minorHAnsi" w:hAnsiTheme="minorHAnsi"/>
        </w:rPr>
        <w:t>/</w:t>
      </w:r>
      <w:r w:rsidR="00910208">
        <w:rPr>
          <w:rFonts w:asciiTheme="minorHAnsi" w:hAnsiTheme="minorHAnsi"/>
        </w:rPr>
        <w:t>DHHS</w:t>
      </w:r>
      <w:r w:rsidR="00EC1E0D" w:rsidRPr="00130441">
        <w:rPr>
          <w:rFonts w:asciiTheme="minorHAnsi" w:hAnsiTheme="minorHAnsi"/>
        </w:rPr>
        <w:t xml:space="preserve"> grant, cooperative agreement or applicable </w:t>
      </w:r>
      <w:r w:rsidR="00EC1E0D" w:rsidRPr="00551EC3">
        <w:rPr>
          <w:rFonts w:asciiTheme="minorHAnsi" w:hAnsiTheme="minorHAnsi"/>
        </w:rPr>
        <w:t xml:space="preserve">contract </w:t>
      </w:r>
      <w:r w:rsidR="00EC1E0D" w:rsidRPr="00E7649D">
        <w:rPr>
          <w:rFonts w:asciiTheme="minorHAnsi" w:hAnsiTheme="minorHAnsi"/>
        </w:rPr>
        <w:t xml:space="preserve">to </w:t>
      </w:r>
      <w:r w:rsidR="00EC1E0D" w:rsidRPr="00E7649D">
        <w:rPr>
          <w:rFonts w:asciiTheme="minorHAnsi" w:hAnsiTheme="minorHAnsi"/>
          <w:b/>
        </w:rPr>
        <w:t>Executive Leve</w:t>
      </w:r>
      <w:r w:rsidR="005024E1" w:rsidRPr="00E7649D">
        <w:rPr>
          <w:rFonts w:asciiTheme="minorHAnsi" w:hAnsiTheme="minorHAnsi"/>
          <w:b/>
        </w:rPr>
        <w:t>l</w:t>
      </w:r>
      <w:r w:rsidR="00EC1E0D" w:rsidRPr="00E7649D">
        <w:rPr>
          <w:rFonts w:asciiTheme="minorHAnsi" w:hAnsiTheme="minorHAnsi"/>
          <w:b/>
        </w:rPr>
        <w:t xml:space="preserve"> I</w:t>
      </w:r>
      <w:r w:rsidR="000209F7" w:rsidRPr="00E7649D">
        <w:rPr>
          <w:rFonts w:asciiTheme="minorHAnsi" w:hAnsiTheme="minorHAnsi"/>
          <w:b/>
        </w:rPr>
        <w:t>I</w:t>
      </w:r>
      <w:r w:rsidR="00EC1E0D" w:rsidRPr="00E7649D">
        <w:rPr>
          <w:rFonts w:asciiTheme="minorHAnsi" w:hAnsiTheme="minorHAnsi"/>
        </w:rPr>
        <w:t xml:space="preserve"> </w:t>
      </w:r>
      <w:r w:rsidR="00EC1E0D" w:rsidRPr="00130441">
        <w:rPr>
          <w:rFonts w:asciiTheme="minorHAnsi" w:hAnsiTheme="minorHAnsi"/>
        </w:rPr>
        <w:t xml:space="preserve">of the Federal Executive Pay Scale. </w:t>
      </w:r>
      <w:r w:rsidR="006960A0">
        <w:rPr>
          <w:rFonts w:asciiTheme="minorHAnsi" w:hAnsiTheme="minorHAnsi"/>
        </w:rPr>
        <w:t xml:space="preserve"> </w:t>
      </w:r>
      <w:r w:rsidR="006960A0" w:rsidRPr="006960A0">
        <w:rPr>
          <w:rFonts w:asciiTheme="minorHAnsi" w:hAnsiTheme="minorHAnsi"/>
          <w:color w:val="0000FF"/>
        </w:rPr>
        <w:t xml:space="preserve">The Office of Personnel Management released new salary levels for the Executive Pay Scale and effective </w:t>
      </w:r>
      <w:r w:rsidR="006960A0" w:rsidRPr="006960A0">
        <w:rPr>
          <w:rFonts w:asciiTheme="minorHAnsi" w:hAnsiTheme="minorHAnsi"/>
          <w:b/>
          <w:color w:val="0000FF"/>
        </w:rPr>
        <w:t>January 2, 2022</w:t>
      </w:r>
      <w:r w:rsidR="006960A0" w:rsidRPr="006960A0">
        <w:rPr>
          <w:rFonts w:asciiTheme="minorHAnsi" w:hAnsiTheme="minorHAnsi"/>
          <w:color w:val="0000FF"/>
        </w:rPr>
        <w:t xml:space="preserve">, the salary limitation for Executive Level II is </w:t>
      </w:r>
      <w:r w:rsidR="006960A0" w:rsidRPr="006960A0">
        <w:rPr>
          <w:rFonts w:asciiTheme="minorHAnsi" w:hAnsiTheme="minorHAnsi"/>
          <w:b/>
          <w:color w:val="0000FF"/>
        </w:rPr>
        <w:t>$203,700</w:t>
      </w:r>
      <w:r w:rsidR="006960A0" w:rsidRPr="006960A0">
        <w:rPr>
          <w:rFonts w:asciiTheme="minorHAnsi" w:hAnsiTheme="minorHAnsi"/>
          <w:color w:val="0000FF"/>
        </w:rPr>
        <w:t>.</w:t>
      </w:r>
      <w:r w:rsidR="005E3373" w:rsidRPr="006960A0">
        <w:rPr>
          <w:rFonts w:asciiTheme="minorHAnsi" w:hAnsiTheme="minorHAnsi"/>
          <w:color w:val="0000FF"/>
        </w:rPr>
        <w:t xml:space="preserve"> </w:t>
      </w:r>
    </w:p>
    <w:p w:rsidR="004E7F24" w:rsidRPr="00130441" w:rsidRDefault="004E7F24">
      <w:pPr>
        <w:tabs>
          <w:tab w:val="left" w:pos="8550"/>
        </w:tabs>
        <w:suppressAutoHyphens/>
        <w:rPr>
          <w:rFonts w:asciiTheme="minorHAnsi" w:hAnsiTheme="minorHAnsi"/>
        </w:rPr>
      </w:pPr>
    </w:p>
    <w:p w:rsidR="006B192A" w:rsidRDefault="00EC1E0D">
      <w:pPr>
        <w:tabs>
          <w:tab w:val="left" w:pos="8550"/>
        </w:tabs>
        <w:suppressAutoHyphens/>
        <w:rPr>
          <w:rFonts w:asciiTheme="minorHAnsi" w:hAnsiTheme="minorHAnsi"/>
        </w:rPr>
      </w:pPr>
      <w:r w:rsidRPr="00130441">
        <w:rPr>
          <w:rFonts w:asciiTheme="minorHAnsi" w:hAnsiTheme="minorHAnsi"/>
        </w:rPr>
        <w:t>Direct salary is exclusive of fringe benefits and facilities and administrative (F&amp;A) expenses, also referred to as indirect costs.  The appropriate salary cap rate must be applied to competing and non-competing awards based upon the award date on the Notice of Award</w:t>
      </w:r>
      <w:r w:rsidR="0030481D" w:rsidRPr="00130441">
        <w:rPr>
          <w:rFonts w:asciiTheme="minorHAnsi" w:hAnsiTheme="minorHAnsi"/>
        </w:rPr>
        <w:t xml:space="preserve"> (NOA)</w:t>
      </w:r>
      <w:r w:rsidRPr="00130441">
        <w:rPr>
          <w:rFonts w:asciiTheme="minorHAnsi" w:hAnsiTheme="minorHAnsi"/>
        </w:rPr>
        <w:t>.</w:t>
      </w:r>
    </w:p>
    <w:p w:rsidR="006B192A" w:rsidRPr="00EE7B8D" w:rsidRDefault="006B192A" w:rsidP="006B192A">
      <w:pPr>
        <w:pStyle w:val="ListParagraph"/>
        <w:tabs>
          <w:tab w:val="left" w:pos="8550"/>
        </w:tabs>
        <w:suppressAutoHyphens/>
        <w:rPr>
          <w:rFonts w:asciiTheme="minorHAnsi" w:hAnsiTheme="minorHAnsi"/>
          <w:sz w:val="16"/>
          <w:szCs w:val="16"/>
        </w:rPr>
      </w:pPr>
    </w:p>
    <w:p w:rsidR="00715737" w:rsidRPr="00DE130D" w:rsidRDefault="006B192A" w:rsidP="00EE7B8D">
      <w:pPr>
        <w:pStyle w:val="ListParagraph"/>
        <w:numPr>
          <w:ilvl w:val="0"/>
          <w:numId w:val="25"/>
        </w:numPr>
        <w:tabs>
          <w:tab w:val="left" w:pos="8550"/>
        </w:tabs>
        <w:suppressAutoHyphens/>
        <w:rPr>
          <w:rFonts w:asciiTheme="minorHAnsi" w:hAnsiTheme="minorHAnsi"/>
        </w:rPr>
      </w:pPr>
      <w:r>
        <w:rPr>
          <w:rFonts w:asciiTheme="minorHAnsi" w:hAnsiTheme="minorHAnsi"/>
        </w:rPr>
        <w:t>C</w:t>
      </w:r>
      <w:r w:rsidR="00270445" w:rsidRPr="006B192A">
        <w:rPr>
          <w:rFonts w:asciiTheme="minorHAnsi" w:hAnsiTheme="minorHAnsi"/>
        </w:rPr>
        <w:t xml:space="preserve">ompeting and non-competing </w:t>
      </w:r>
      <w:r w:rsidR="00EC1E0D" w:rsidRPr="006B192A">
        <w:rPr>
          <w:rFonts w:asciiTheme="minorHAnsi" w:hAnsiTheme="minorHAnsi"/>
        </w:rPr>
        <w:t>awards issued</w:t>
      </w:r>
      <w:r w:rsidR="00DE130D">
        <w:rPr>
          <w:rFonts w:asciiTheme="minorHAnsi" w:hAnsiTheme="minorHAnsi"/>
        </w:rPr>
        <w:t xml:space="preserve"> during the period </w:t>
      </w:r>
      <w:r w:rsidR="00BE1475" w:rsidRPr="006B192A">
        <w:rPr>
          <w:rFonts w:asciiTheme="minorHAnsi" w:hAnsiTheme="minorHAnsi"/>
        </w:rPr>
        <w:t>1</w:t>
      </w:r>
      <w:r w:rsidR="00EC1E0D" w:rsidRPr="006B192A">
        <w:rPr>
          <w:rFonts w:asciiTheme="minorHAnsi" w:hAnsiTheme="minorHAnsi"/>
        </w:rPr>
        <w:t>/</w:t>
      </w:r>
      <w:r w:rsidR="00C16667">
        <w:rPr>
          <w:rFonts w:asciiTheme="minorHAnsi" w:hAnsiTheme="minorHAnsi"/>
        </w:rPr>
        <w:t>3</w:t>
      </w:r>
      <w:r w:rsidR="00EC1E0D" w:rsidRPr="006B192A">
        <w:rPr>
          <w:rFonts w:asciiTheme="minorHAnsi" w:hAnsiTheme="minorHAnsi"/>
        </w:rPr>
        <w:t>/</w:t>
      </w:r>
      <w:r w:rsidR="00EF2E91">
        <w:rPr>
          <w:rFonts w:asciiTheme="minorHAnsi" w:hAnsiTheme="minorHAnsi"/>
        </w:rPr>
        <w:t>2</w:t>
      </w:r>
      <w:r w:rsidR="006960A0">
        <w:rPr>
          <w:rFonts w:asciiTheme="minorHAnsi" w:hAnsiTheme="minorHAnsi"/>
        </w:rPr>
        <w:t>1</w:t>
      </w:r>
      <w:r w:rsidR="00100715">
        <w:rPr>
          <w:rFonts w:asciiTheme="minorHAnsi" w:hAnsiTheme="minorHAnsi"/>
        </w:rPr>
        <w:t xml:space="preserve"> through </w:t>
      </w:r>
      <w:r w:rsidR="006960A0">
        <w:rPr>
          <w:rFonts w:asciiTheme="minorHAnsi" w:hAnsiTheme="minorHAnsi"/>
        </w:rPr>
        <w:t>1/1</w:t>
      </w:r>
      <w:r w:rsidR="00DE130D">
        <w:rPr>
          <w:rFonts w:asciiTheme="minorHAnsi" w:hAnsiTheme="minorHAnsi"/>
        </w:rPr>
        <w:t>/</w:t>
      </w:r>
      <w:r w:rsidR="00664BD9">
        <w:rPr>
          <w:rFonts w:asciiTheme="minorHAnsi" w:hAnsiTheme="minorHAnsi"/>
        </w:rPr>
        <w:t>2</w:t>
      </w:r>
      <w:r w:rsidR="006960A0">
        <w:rPr>
          <w:rFonts w:asciiTheme="minorHAnsi" w:hAnsiTheme="minorHAnsi"/>
        </w:rPr>
        <w:t>2</w:t>
      </w:r>
      <w:r w:rsidR="00EC1E0D" w:rsidRPr="006B192A">
        <w:rPr>
          <w:rFonts w:asciiTheme="minorHAnsi" w:hAnsiTheme="minorHAnsi"/>
        </w:rPr>
        <w:t xml:space="preserve"> </w:t>
      </w:r>
      <w:r w:rsidR="0030481D" w:rsidRPr="006B192A">
        <w:rPr>
          <w:rFonts w:asciiTheme="minorHAnsi" w:hAnsiTheme="minorHAnsi"/>
        </w:rPr>
        <w:t>must</w:t>
      </w:r>
      <w:r w:rsidR="00EC1E0D" w:rsidRPr="006B192A">
        <w:rPr>
          <w:rFonts w:asciiTheme="minorHAnsi" w:hAnsiTheme="minorHAnsi"/>
        </w:rPr>
        <w:t xml:space="preserve"> use the Federal Fiscal Year </w:t>
      </w:r>
      <w:r w:rsidR="00D30A1E" w:rsidRPr="006B192A">
        <w:rPr>
          <w:rFonts w:asciiTheme="minorHAnsi" w:hAnsiTheme="minorHAnsi"/>
        </w:rPr>
        <w:t>20</w:t>
      </w:r>
      <w:r w:rsidR="00EF2E91">
        <w:rPr>
          <w:rFonts w:asciiTheme="minorHAnsi" w:hAnsiTheme="minorHAnsi"/>
        </w:rPr>
        <w:t>2</w:t>
      </w:r>
      <w:r w:rsidR="006960A0">
        <w:rPr>
          <w:rFonts w:asciiTheme="minorHAnsi" w:hAnsiTheme="minorHAnsi"/>
        </w:rPr>
        <w:t>1</w:t>
      </w:r>
      <w:r w:rsidR="00EC1E0D" w:rsidRPr="006B192A">
        <w:rPr>
          <w:rFonts w:asciiTheme="minorHAnsi" w:hAnsiTheme="minorHAnsi"/>
        </w:rPr>
        <w:t xml:space="preserve"> </w:t>
      </w:r>
      <w:r w:rsidR="00BE1475" w:rsidRPr="00DE130D">
        <w:rPr>
          <w:rFonts w:asciiTheme="minorHAnsi" w:hAnsiTheme="minorHAnsi"/>
        </w:rPr>
        <w:t xml:space="preserve">Executive Level II </w:t>
      </w:r>
      <w:r w:rsidR="00EC1E0D" w:rsidRPr="00DE130D">
        <w:rPr>
          <w:rFonts w:asciiTheme="minorHAnsi" w:hAnsiTheme="minorHAnsi"/>
        </w:rPr>
        <w:t>rate</w:t>
      </w:r>
      <w:r w:rsidR="00EE7B8D" w:rsidRPr="00DE130D">
        <w:rPr>
          <w:rFonts w:asciiTheme="minorHAnsi" w:hAnsiTheme="minorHAnsi"/>
        </w:rPr>
        <w:t xml:space="preserve"> </w:t>
      </w:r>
      <w:r w:rsidR="00EC1E0D" w:rsidRPr="00DE130D">
        <w:rPr>
          <w:rFonts w:asciiTheme="minorHAnsi" w:hAnsiTheme="minorHAnsi"/>
        </w:rPr>
        <w:t>(</w:t>
      </w:r>
      <w:r w:rsidR="00FA2BF5" w:rsidRPr="00DE130D">
        <w:rPr>
          <w:rFonts w:asciiTheme="minorHAnsi" w:hAnsiTheme="minorHAnsi"/>
        </w:rPr>
        <w:t>$1</w:t>
      </w:r>
      <w:r w:rsidR="00664BD9">
        <w:rPr>
          <w:rFonts w:asciiTheme="minorHAnsi" w:hAnsiTheme="minorHAnsi"/>
        </w:rPr>
        <w:t>9</w:t>
      </w:r>
      <w:r w:rsidR="006960A0">
        <w:rPr>
          <w:rFonts w:asciiTheme="minorHAnsi" w:hAnsiTheme="minorHAnsi"/>
        </w:rPr>
        <w:t>9</w:t>
      </w:r>
      <w:r w:rsidR="00664BD9">
        <w:rPr>
          <w:rFonts w:asciiTheme="minorHAnsi" w:hAnsiTheme="minorHAnsi"/>
        </w:rPr>
        <w:t>,300</w:t>
      </w:r>
      <w:r w:rsidR="00EC1E0D" w:rsidRPr="00DE130D">
        <w:rPr>
          <w:rFonts w:asciiTheme="minorHAnsi" w:hAnsiTheme="minorHAnsi"/>
        </w:rPr>
        <w:t>)</w:t>
      </w:r>
      <w:r w:rsidRPr="00DE130D">
        <w:rPr>
          <w:rFonts w:asciiTheme="minorHAnsi" w:hAnsiTheme="minorHAnsi"/>
        </w:rPr>
        <w:t>.</w:t>
      </w:r>
    </w:p>
    <w:p w:rsidR="00DE130D" w:rsidRPr="00DE130D" w:rsidRDefault="00DE130D" w:rsidP="00DE130D">
      <w:pPr>
        <w:pStyle w:val="ListParagraph"/>
        <w:rPr>
          <w:rFonts w:asciiTheme="minorHAnsi" w:hAnsiTheme="minorHAnsi"/>
        </w:rPr>
      </w:pPr>
    </w:p>
    <w:p w:rsidR="00DE130D" w:rsidRPr="00DE130D" w:rsidRDefault="00DE130D" w:rsidP="00DE130D">
      <w:pPr>
        <w:pStyle w:val="ListParagraph"/>
        <w:numPr>
          <w:ilvl w:val="0"/>
          <w:numId w:val="25"/>
        </w:numPr>
        <w:tabs>
          <w:tab w:val="left" w:pos="8550"/>
        </w:tabs>
        <w:suppressAutoHyphens/>
        <w:rPr>
          <w:rFonts w:asciiTheme="minorHAnsi" w:hAnsiTheme="minorHAnsi"/>
        </w:rPr>
      </w:pPr>
      <w:r>
        <w:rPr>
          <w:rFonts w:asciiTheme="minorHAnsi" w:hAnsiTheme="minorHAnsi"/>
        </w:rPr>
        <w:t>C</w:t>
      </w:r>
      <w:r w:rsidRPr="006B192A">
        <w:rPr>
          <w:rFonts w:asciiTheme="minorHAnsi" w:hAnsiTheme="minorHAnsi"/>
        </w:rPr>
        <w:t xml:space="preserve">ompeting and non-competing awards issued </w:t>
      </w:r>
      <w:r>
        <w:rPr>
          <w:rFonts w:asciiTheme="minorHAnsi" w:hAnsiTheme="minorHAnsi"/>
        </w:rPr>
        <w:t>on or after</w:t>
      </w:r>
      <w:r w:rsidRPr="006B192A">
        <w:rPr>
          <w:rFonts w:asciiTheme="minorHAnsi" w:hAnsiTheme="minorHAnsi"/>
        </w:rPr>
        <w:t xml:space="preserve"> 1/</w:t>
      </w:r>
      <w:r w:rsidR="006960A0">
        <w:rPr>
          <w:rFonts w:asciiTheme="minorHAnsi" w:hAnsiTheme="minorHAnsi"/>
        </w:rPr>
        <w:t>2</w:t>
      </w:r>
      <w:r w:rsidRPr="006B192A">
        <w:rPr>
          <w:rFonts w:asciiTheme="minorHAnsi" w:hAnsiTheme="minorHAnsi"/>
        </w:rPr>
        <w:t>/</w:t>
      </w:r>
      <w:r w:rsidR="00456C17">
        <w:rPr>
          <w:rFonts w:asciiTheme="minorHAnsi" w:hAnsiTheme="minorHAnsi"/>
        </w:rPr>
        <w:t>2</w:t>
      </w:r>
      <w:r w:rsidR="006960A0">
        <w:rPr>
          <w:rFonts w:asciiTheme="minorHAnsi" w:hAnsiTheme="minorHAnsi"/>
        </w:rPr>
        <w:t>2</w:t>
      </w:r>
      <w:r w:rsidRPr="006B192A">
        <w:rPr>
          <w:rFonts w:asciiTheme="minorHAnsi" w:hAnsiTheme="minorHAnsi"/>
        </w:rPr>
        <w:t xml:space="preserve"> must use the Federal Fiscal Year 20</w:t>
      </w:r>
      <w:r w:rsidR="00664BD9">
        <w:rPr>
          <w:rFonts w:asciiTheme="minorHAnsi" w:hAnsiTheme="minorHAnsi"/>
        </w:rPr>
        <w:t>2</w:t>
      </w:r>
      <w:r w:rsidR="006960A0">
        <w:rPr>
          <w:rFonts w:asciiTheme="minorHAnsi" w:hAnsiTheme="minorHAnsi"/>
        </w:rPr>
        <w:t>2</w:t>
      </w:r>
      <w:r w:rsidRPr="006B192A">
        <w:rPr>
          <w:rFonts w:asciiTheme="minorHAnsi" w:hAnsiTheme="minorHAnsi"/>
        </w:rPr>
        <w:t xml:space="preserve"> </w:t>
      </w:r>
      <w:r w:rsidRPr="008F70D4">
        <w:rPr>
          <w:rFonts w:asciiTheme="minorHAnsi" w:hAnsiTheme="minorHAnsi"/>
          <w:b/>
          <w:color w:val="0000FF"/>
        </w:rPr>
        <w:t>Executive Level II rate ($</w:t>
      </w:r>
      <w:r w:rsidR="006960A0">
        <w:rPr>
          <w:rFonts w:asciiTheme="minorHAnsi" w:hAnsiTheme="minorHAnsi"/>
          <w:b/>
          <w:color w:val="0000FF"/>
        </w:rPr>
        <w:t>203</w:t>
      </w:r>
      <w:r w:rsidRPr="008F70D4">
        <w:rPr>
          <w:rFonts w:asciiTheme="minorHAnsi" w:hAnsiTheme="minorHAnsi"/>
          <w:b/>
          <w:color w:val="0000FF"/>
        </w:rPr>
        <w:t>,</w:t>
      </w:r>
      <w:r w:rsidR="006960A0">
        <w:rPr>
          <w:rFonts w:asciiTheme="minorHAnsi" w:hAnsiTheme="minorHAnsi"/>
          <w:b/>
          <w:color w:val="0000FF"/>
        </w:rPr>
        <w:t>7</w:t>
      </w:r>
      <w:r w:rsidRPr="008F70D4">
        <w:rPr>
          <w:rFonts w:asciiTheme="minorHAnsi" w:hAnsiTheme="minorHAnsi"/>
          <w:b/>
          <w:color w:val="0000FF"/>
        </w:rPr>
        <w:t>00).</w:t>
      </w:r>
    </w:p>
    <w:p w:rsidR="00EC1E0D" w:rsidRPr="00551EC3" w:rsidRDefault="00EC1E0D">
      <w:pPr>
        <w:suppressAutoHyphens/>
        <w:rPr>
          <w:rFonts w:asciiTheme="minorHAnsi" w:hAnsiTheme="minorHAnsi"/>
          <w:b/>
        </w:rPr>
      </w:pPr>
    </w:p>
    <w:p w:rsidR="00456C17" w:rsidRPr="00230363" w:rsidRDefault="00B42DB3">
      <w:pPr>
        <w:suppressAutoHyphens/>
        <w:rPr>
          <w:rFonts w:asciiTheme="minorHAnsi" w:hAnsiTheme="minorHAnsi"/>
        </w:rPr>
      </w:pPr>
      <w:r>
        <w:rPr>
          <w:rFonts w:asciiTheme="minorHAnsi" w:hAnsiTheme="minorHAnsi"/>
        </w:rPr>
        <w:t xml:space="preserve">Effective </w:t>
      </w:r>
      <w:r w:rsidR="00E9402E" w:rsidRPr="001C3F56">
        <w:rPr>
          <w:rFonts w:asciiTheme="minorHAnsi" w:hAnsiTheme="minorHAnsi"/>
          <w:b/>
          <w:color w:val="0000FF"/>
        </w:rPr>
        <w:t>2</w:t>
      </w:r>
      <w:r w:rsidRPr="001C3F56">
        <w:rPr>
          <w:rFonts w:asciiTheme="minorHAnsi" w:hAnsiTheme="minorHAnsi"/>
          <w:b/>
          <w:color w:val="0000FF"/>
        </w:rPr>
        <w:t>/</w:t>
      </w:r>
      <w:r w:rsidR="002B6886">
        <w:rPr>
          <w:rFonts w:asciiTheme="minorHAnsi" w:hAnsiTheme="minorHAnsi"/>
          <w:b/>
          <w:color w:val="0000FF"/>
        </w:rPr>
        <w:t>11</w:t>
      </w:r>
      <w:r w:rsidRPr="001933EC">
        <w:rPr>
          <w:rFonts w:asciiTheme="minorHAnsi" w:hAnsiTheme="minorHAnsi"/>
          <w:b/>
          <w:color w:val="0000FF"/>
        </w:rPr>
        <w:t>/</w:t>
      </w:r>
      <w:r w:rsidR="00B13A81" w:rsidRPr="001933EC">
        <w:rPr>
          <w:rFonts w:asciiTheme="minorHAnsi" w:hAnsiTheme="minorHAnsi"/>
          <w:b/>
          <w:color w:val="0000FF"/>
        </w:rPr>
        <w:t>2</w:t>
      </w:r>
      <w:r w:rsidR="002B6886">
        <w:rPr>
          <w:rFonts w:asciiTheme="minorHAnsi" w:hAnsiTheme="minorHAnsi"/>
          <w:b/>
          <w:color w:val="0000FF"/>
        </w:rPr>
        <w:t>2</w:t>
      </w:r>
      <w:r w:rsidRPr="00263F9B">
        <w:rPr>
          <w:rFonts w:asciiTheme="minorHAnsi" w:hAnsiTheme="minorHAnsi"/>
        </w:rPr>
        <w:t>,</w:t>
      </w:r>
      <w:r>
        <w:rPr>
          <w:rFonts w:asciiTheme="minorHAnsi" w:hAnsiTheme="minorHAnsi"/>
        </w:rPr>
        <w:t xml:space="preserve"> </w:t>
      </w:r>
      <w:r w:rsidR="002B6886">
        <w:rPr>
          <w:rFonts w:asciiTheme="minorHAnsi" w:hAnsiTheme="minorHAnsi"/>
        </w:rPr>
        <w:t xml:space="preserve">Workday began applying </w:t>
      </w:r>
      <w:r w:rsidR="0030481D" w:rsidRPr="00551EC3">
        <w:rPr>
          <w:rFonts w:asciiTheme="minorHAnsi" w:hAnsiTheme="minorHAnsi"/>
        </w:rPr>
        <w:t xml:space="preserve">the </w:t>
      </w:r>
      <w:r w:rsidR="004543A6">
        <w:rPr>
          <w:rFonts w:asciiTheme="minorHAnsi" w:hAnsiTheme="minorHAnsi"/>
        </w:rPr>
        <w:t xml:space="preserve">new </w:t>
      </w:r>
      <w:r w:rsidR="0030481D" w:rsidRPr="00551EC3">
        <w:rPr>
          <w:rFonts w:asciiTheme="minorHAnsi" w:hAnsiTheme="minorHAnsi"/>
          <w:b/>
          <w:color w:val="0000FF"/>
        </w:rPr>
        <w:t>Executive Level II rate of $</w:t>
      </w:r>
      <w:r w:rsidR="002B6886">
        <w:rPr>
          <w:rFonts w:asciiTheme="minorHAnsi" w:hAnsiTheme="minorHAnsi"/>
          <w:b/>
          <w:color w:val="0000FF"/>
        </w:rPr>
        <w:t>203,7</w:t>
      </w:r>
      <w:r w:rsidR="0030481D" w:rsidRPr="00551EC3">
        <w:rPr>
          <w:rFonts w:asciiTheme="minorHAnsi" w:hAnsiTheme="minorHAnsi"/>
          <w:b/>
          <w:color w:val="0000FF"/>
        </w:rPr>
        <w:t xml:space="preserve">00 </w:t>
      </w:r>
      <w:r>
        <w:rPr>
          <w:rFonts w:asciiTheme="minorHAnsi" w:hAnsiTheme="minorHAnsi"/>
        </w:rPr>
        <w:t xml:space="preserve">to NIH grants funded from Federal Fiscal Year </w:t>
      </w:r>
      <w:r w:rsidR="00DE130D" w:rsidRPr="00230363">
        <w:rPr>
          <w:rFonts w:asciiTheme="minorHAnsi" w:hAnsiTheme="minorHAnsi"/>
        </w:rPr>
        <w:t>20</w:t>
      </w:r>
      <w:r w:rsidR="00B13A81" w:rsidRPr="00230363">
        <w:rPr>
          <w:rFonts w:asciiTheme="minorHAnsi" w:hAnsiTheme="minorHAnsi"/>
        </w:rPr>
        <w:t>2</w:t>
      </w:r>
      <w:r w:rsidR="002B6886" w:rsidRPr="00230363">
        <w:rPr>
          <w:rFonts w:asciiTheme="minorHAnsi" w:hAnsiTheme="minorHAnsi"/>
        </w:rPr>
        <w:t>2</w:t>
      </w:r>
      <w:r w:rsidR="001F4319">
        <w:rPr>
          <w:rFonts w:asciiTheme="minorHAnsi" w:hAnsiTheme="minorHAnsi"/>
        </w:rPr>
        <w:t>.</w:t>
      </w:r>
      <w:r w:rsidR="00230363" w:rsidRPr="00230363">
        <w:rPr>
          <w:rFonts w:asciiTheme="minorHAnsi" w:hAnsiTheme="minorHAnsi"/>
        </w:rPr>
        <w:t xml:space="preserve"> </w:t>
      </w:r>
      <w:r w:rsidR="00EC1E0D" w:rsidRPr="00130441">
        <w:rPr>
          <w:rFonts w:asciiTheme="minorHAnsi" w:hAnsiTheme="minorHAnsi"/>
        </w:rPr>
        <w:t xml:space="preserve">The University’s policies and procedures regarding the salary cap have been updated and </w:t>
      </w:r>
      <w:r w:rsidR="004E7F24" w:rsidRPr="00130441">
        <w:rPr>
          <w:rFonts w:asciiTheme="minorHAnsi" w:hAnsiTheme="minorHAnsi"/>
        </w:rPr>
        <w:t>included with</w:t>
      </w:r>
      <w:r w:rsidR="00EC1E0D" w:rsidRPr="00130441">
        <w:rPr>
          <w:rFonts w:asciiTheme="minorHAnsi" w:hAnsiTheme="minorHAnsi"/>
        </w:rPr>
        <w:t xml:space="preserve"> this memo.  This information will also be presented on Sponsored Projects Accounting</w:t>
      </w:r>
      <w:r w:rsidR="004E7F24" w:rsidRPr="00130441">
        <w:rPr>
          <w:rFonts w:asciiTheme="minorHAnsi" w:hAnsiTheme="minorHAnsi"/>
        </w:rPr>
        <w:t>’s</w:t>
      </w:r>
      <w:r w:rsidR="00EC1E0D" w:rsidRPr="00130441">
        <w:rPr>
          <w:rFonts w:asciiTheme="minorHAnsi" w:hAnsiTheme="minorHAnsi"/>
        </w:rPr>
        <w:t xml:space="preserve"> web page, see </w:t>
      </w:r>
      <w:hyperlink r:id="rId9" w:history="1">
        <w:r w:rsidR="00BB733E" w:rsidRPr="00EC5C7B">
          <w:rPr>
            <w:rStyle w:val="Hyperlink"/>
            <w:rFonts w:asciiTheme="minorHAnsi" w:hAnsiTheme="minorHAnsi"/>
          </w:rPr>
          <w:t>https://financialservices.wustl.edu/wfin-topic/sponsored-projects-accounting/</w:t>
        </w:r>
      </w:hyperlink>
      <w:r w:rsidR="00BB733E">
        <w:rPr>
          <w:rFonts w:asciiTheme="minorHAnsi" w:hAnsiTheme="minorHAnsi"/>
        </w:rPr>
        <w:t xml:space="preserve"> </w:t>
      </w:r>
      <w:r w:rsidR="00EC1E0D" w:rsidRPr="00130441">
        <w:rPr>
          <w:rFonts w:asciiTheme="minorHAnsi" w:hAnsiTheme="minorHAnsi"/>
        </w:rPr>
        <w:t xml:space="preserve">and click on </w:t>
      </w:r>
      <w:r w:rsidR="00BB733E" w:rsidRPr="00BB733E">
        <w:rPr>
          <w:rFonts w:asciiTheme="minorHAnsi" w:hAnsiTheme="minorHAnsi"/>
          <w:color w:val="0000FF"/>
        </w:rPr>
        <w:t xml:space="preserve">Personnel Cost </w:t>
      </w:r>
      <w:r w:rsidR="008A114A" w:rsidRPr="00130441">
        <w:rPr>
          <w:rFonts w:asciiTheme="minorHAnsi" w:hAnsiTheme="minorHAnsi"/>
        </w:rPr>
        <w:t>section</w:t>
      </w:r>
      <w:r w:rsidR="00EC1E0D" w:rsidRPr="00130441">
        <w:rPr>
          <w:rFonts w:asciiTheme="minorHAnsi" w:hAnsiTheme="minorHAnsi"/>
        </w:rPr>
        <w:t xml:space="preserve">.  The text of the </w:t>
      </w:r>
      <w:r w:rsidR="001866B6">
        <w:rPr>
          <w:rFonts w:asciiTheme="minorHAnsi" w:hAnsiTheme="minorHAnsi"/>
        </w:rPr>
        <w:t>F</w:t>
      </w:r>
      <w:r w:rsidR="00EC1E0D" w:rsidRPr="00130441">
        <w:rPr>
          <w:rFonts w:asciiTheme="minorHAnsi" w:hAnsiTheme="minorHAnsi"/>
        </w:rPr>
        <w:t>FY</w:t>
      </w:r>
      <w:r w:rsidR="00B13A81">
        <w:rPr>
          <w:rFonts w:asciiTheme="minorHAnsi" w:hAnsiTheme="minorHAnsi"/>
        </w:rPr>
        <w:t>2</w:t>
      </w:r>
      <w:r w:rsidR="002B6886">
        <w:rPr>
          <w:rFonts w:asciiTheme="minorHAnsi" w:hAnsiTheme="minorHAnsi"/>
        </w:rPr>
        <w:t>2</w:t>
      </w:r>
      <w:r w:rsidR="00EC1E0D" w:rsidRPr="00130441">
        <w:rPr>
          <w:rFonts w:asciiTheme="minorHAnsi" w:hAnsiTheme="minorHAnsi"/>
        </w:rPr>
        <w:t xml:space="preserve"> guidelines issued by the NIH can be found</w:t>
      </w:r>
      <w:r w:rsidR="00270445" w:rsidRPr="00130441">
        <w:rPr>
          <w:rFonts w:asciiTheme="minorHAnsi" w:hAnsiTheme="minorHAnsi"/>
        </w:rPr>
        <w:t xml:space="preserve"> </w:t>
      </w:r>
      <w:r w:rsidR="00100715" w:rsidRPr="00FF7590">
        <w:rPr>
          <w:rFonts w:asciiTheme="minorHAnsi" w:hAnsiTheme="minorHAnsi" w:cstheme="minorHAnsi"/>
        </w:rPr>
        <w:t xml:space="preserve">at </w:t>
      </w:r>
      <w:hyperlink r:id="rId10" w:history="1">
        <w:r w:rsidR="002B6886" w:rsidRPr="00683573">
          <w:rPr>
            <w:rStyle w:val="Hyperlink"/>
            <w:rFonts w:asciiTheme="minorHAnsi" w:hAnsiTheme="minorHAnsi" w:cstheme="minorHAnsi"/>
          </w:rPr>
          <w:t>https://grants.nih.gov/grants/guide/notice-files/NOT-OD-22-076.html</w:t>
        </w:r>
      </w:hyperlink>
      <w:r w:rsidR="002B6886">
        <w:rPr>
          <w:rFonts w:asciiTheme="minorHAnsi" w:hAnsiTheme="minorHAnsi" w:cstheme="minorHAnsi"/>
        </w:rPr>
        <w:t>.</w:t>
      </w:r>
    </w:p>
    <w:p w:rsidR="002B6886" w:rsidRDefault="002B6886">
      <w:pPr>
        <w:suppressAutoHyphens/>
        <w:rPr>
          <w:rFonts w:asciiTheme="minorHAnsi" w:hAnsiTheme="minorHAnsi" w:cstheme="minorHAnsi"/>
          <w:strike/>
        </w:rPr>
      </w:pPr>
    </w:p>
    <w:p w:rsidR="002820FE" w:rsidRDefault="002820FE">
      <w:pPr>
        <w:suppressAutoHyphens/>
        <w:rPr>
          <w:rFonts w:asciiTheme="minorHAnsi" w:hAnsiTheme="minorHAnsi" w:cstheme="minorHAnsi"/>
        </w:rPr>
      </w:pPr>
      <w:r>
        <w:rPr>
          <w:rFonts w:asciiTheme="minorHAnsi" w:hAnsiTheme="minorHAnsi" w:cstheme="minorHAnsi"/>
        </w:rPr>
        <w:t xml:space="preserve">The Research Management System (RMS) will be updated with the new </w:t>
      </w:r>
      <w:r w:rsidR="00416814">
        <w:rPr>
          <w:rFonts w:asciiTheme="minorHAnsi" w:hAnsiTheme="minorHAnsi" w:cstheme="minorHAnsi"/>
        </w:rPr>
        <w:t>salary cap r</w:t>
      </w:r>
      <w:r>
        <w:rPr>
          <w:rFonts w:asciiTheme="minorHAnsi" w:hAnsiTheme="minorHAnsi" w:cstheme="minorHAnsi"/>
        </w:rPr>
        <w:t xml:space="preserve">ates on </w:t>
      </w:r>
      <w:r w:rsidR="00F34B7D" w:rsidRPr="00F34B7D">
        <w:rPr>
          <w:rFonts w:asciiTheme="minorHAnsi" w:hAnsiTheme="minorHAnsi" w:cstheme="minorHAnsi"/>
          <w:b/>
          <w:color w:val="0000FF"/>
        </w:rPr>
        <w:t>3</w:t>
      </w:r>
      <w:r w:rsidR="001C3F56" w:rsidRPr="00F34B7D">
        <w:rPr>
          <w:rFonts w:asciiTheme="minorHAnsi" w:hAnsiTheme="minorHAnsi" w:cstheme="minorHAnsi"/>
          <w:b/>
          <w:color w:val="0000FF"/>
        </w:rPr>
        <w:t>/8</w:t>
      </w:r>
      <w:r w:rsidRPr="00F34B7D">
        <w:rPr>
          <w:rFonts w:asciiTheme="minorHAnsi" w:hAnsiTheme="minorHAnsi" w:cstheme="minorHAnsi"/>
          <w:b/>
          <w:color w:val="0000FF"/>
        </w:rPr>
        <w:t>/2</w:t>
      </w:r>
      <w:r w:rsidR="00F34B7D" w:rsidRPr="00F34B7D">
        <w:rPr>
          <w:rFonts w:asciiTheme="minorHAnsi" w:hAnsiTheme="minorHAnsi" w:cstheme="minorHAnsi"/>
          <w:b/>
          <w:color w:val="0000FF"/>
        </w:rPr>
        <w:t>2</w:t>
      </w:r>
      <w:r>
        <w:rPr>
          <w:rFonts w:asciiTheme="minorHAnsi" w:hAnsiTheme="minorHAnsi" w:cstheme="minorHAnsi"/>
        </w:rPr>
        <w:t xml:space="preserve">.  </w:t>
      </w:r>
    </w:p>
    <w:p w:rsidR="00750E2B" w:rsidRPr="00130441" w:rsidRDefault="008E2005">
      <w:pPr>
        <w:suppressAutoHyphens/>
        <w:rPr>
          <w:rFonts w:asciiTheme="minorHAnsi" w:hAnsiTheme="minorHAnsi"/>
        </w:rPr>
      </w:pPr>
      <w:r w:rsidRPr="00130441">
        <w:rPr>
          <w:rFonts w:asciiTheme="minorHAnsi" w:hAnsiTheme="minorHAnsi"/>
        </w:rPr>
        <w:t xml:space="preserve"> </w:t>
      </w:r>
      <w:r w:rsidR="00EC1E0D" w:rsidRPr="00130441">
        <w:rPr>
          <w:rFonts w:asciiTheme="minorHAnsi" w:hAnsiTheme="minorHAnsi"/>
        </w:rPr>
        <w:t xml:space="preserve">  </w:t>
      </w:r>
      <w:r w:rsidR="00750E2B">
        <w:rPr>
          <w:rFonts w:asciiTheme="minorHAnsi" w:hAnsiTheme="minorHAnsi"/>
        </w:rPr>
        <w:t xml:space="preserve"> </w:t>
      </w:r>
    </w:p>
    <w:p w:rsidR="00457F6E" w:rsidRPr="00130441" w:rsidRDefault="00457F6E" w:rsidP="00457F6E">
      <w:pPr>
        <w:rPr>
          <w:rFonts w:asciiTheme="minorHAnsi" w:hAnsiTheme="minorHAnsi"/>
        </w:rPr>
      </w:pPr>
      <w:r w:rsidRPr="00130441">
        <w:rPr>
          <w:rFonts w:asciiTheme="minorHAnsi" w:hAnsiTheme="minorHAnsi"/>
        </w:rPr>
        <w:t>If you have any questions or concerns about the NIH Salary Cap, please contact</w:t>
      </w:r>
      <w:r w:rsidR="00CF3E33">
        <w:rPr>
          <w:rFonts w:asciiTheme="minorHAnsi" w:hAnsiTheme="minorHAnsi"/>
        </w:rPr>
        <w:t xml:space="preserve"> Meredith Fey </w:t>
      </w:r>
      <w:r w:rsidRPr="00130441">
        <w:rPr>
          <w:rFonts w:asciiTheme="minorHAnsi" w:hAnsiTheme="minorHAnsi"/>
        </w:rPr>
        <w:t xml:space="preserve">at </w:t>
      </w:r>
      <w:hyperlink r:id="rId11" w:history="1">
        <w:r w:rsidR="00CF3E33" w:rsidRPr="00D95F08">
          <w:rPr>
            <w:rStyle w:val="Hyperlink"/>
            <w:rFonts w:asciiTheme="minorHAnsi" w:hAnsiTheme="minorHAnsi"/>
          </w:rPr>
          <w:t>meredithfey@wustl.edu</w:t>
        </w:r>
      </w:hyperlink>
      <w:r w:rsidR="00CF3E33">
        <w:rPr>
          <w:rFonts w:asciiTheme="minorHAnsi" w:hAnsiTheme="minorHAnsi"/>
        </w:rPr>
        <w:t xml:space="preserve"> </w:t>
      </w:r>
      <w:r w:rsidRPr="00130441">
        <w:rPr>
          <w:rFonts w:asciiTheme="minorHAnsi" w:hAnsiTheme="minorHAnsi"/>
        </w:rPr>
        <w:t xml:space="preserve">or me at </w:t>
      </w:r>
      <w:hyperlink r:id="rId12" w:history="1">
        <w:r w:rsidR="00EA0551" w:rsidRPr="00EC5C7B">
          <w:rPr>
            <w:rStyle w:val="Hyperlink"/>
            <w:rFonts w:asciiTheme="minorHAnsi" w:hAnsiTheme="minorHAnsi"/>
          </w:rPr>
          <w:t>jgindhart@wustl.edu</w:t>
        </w:r>
      </w:hyperlink>
      <w:r w:rsidRPr="00130441">
        <w:rPr>
          <w:rFonts w:asciiTheme="minorHAnsi" w:hAnsiTheme="minorHAnsi"/>
        </w:rPr>
        <w:t>.</w:t>
      </w:r>
    </w:p>
    <w:p w:rsidR="00457F6E" w:rsidRDefault="00457F6E">
      <w:pPr>
        <w:suppressAutoHyphens/>
        <w:rPr>
          <w:rFonts w:asciiTheme="minorHAnsi" w:hAnsiTheme="minorHAnsi"/>
        </w:rPr>
      </w:pPr>
    </w:p>
    <w:p w:rsidR="00457F6E" w:rsidRDefault="00457F6E">
      <w:pPr>
        <w:suppressAutoHyphens/>
        <w:rPr>
          <w:rFonts w:asciiTheme="minorHAnsi" w:hAnsiTheme="minorHAnsi"/>
        </w:rPr>
      </w:pPr>
    </w:p>
    <w:p w:rsidR="00457F6E" w:rsidRDefault="00457F6E">
      <w:pPr>
        <w:suppressAutoHyphens/>
        <w:rPr>
          <w:rFonts w:asciiTheme="minorHAnsi" w:hAnsiTheme="minorHAnsi"/>
        </w:rPr>
        <w:sectPr w:rsidR="00457F6E" w:rsidSect="008224D9">
          <w:headerReference w:type="even" r:id="rId13"/>
          <w:headerReference w:type="default" r:id="rId14"/>
          <w:footerReference w:type="default" r:id="rId15"/>
          <w:headerReference w:type="first" r:id="rId16"/>
          <w:endnotePr>
            <w:numFmt w:val="decimal"/>
          </w:endnotePr>
          <w:pgSz w:w="12240" w:h="15840"/>
          <w:pgMar w:top="1008" w:right="1440" w:bottom="1440" w:left="1440" w:header="432" w:footer="390" w:gutter="0"/>
          <w:cols w:space="720"/>
          <w:noEndnote/>
        </w:sectPr>
      </w:pPr>
    </w:p>
    <w:p w:rsidR="00123C8B" w:rsidRDefault="00123C8B">
      <w:pPr>
        <w:pStyle w:val="BodyText"/>
        <w:widowControl/>
        <w:rPr>
          <w:rFonts w:asciiTheme="minorHAnsi" w:hAnsiTheme="minorHAnsi"/>
          <w:b/>
          <w:szCs w:val="24"/>
          <w:u w:val="single"/>
        </w:rPr>
      </w:pPr>
    </w:p>
    <w:p w:rsidR="00EC1E0D" w:rsidRPr="00712409" w:rsidRDefault="00EC1E0D">
      <w:pPr>
        <w:pStyle w:val="BodyText"/>
        <w:widowControl/>
        <w:rPr>
          <w:rFonts w:asciiTheme="minorHAnsi" w:hAnsiTheme="minorHAnsi"/>
          <w:b/>
          <w:szCs w:val="24"/>
          <w:u w:val="single"/>
        </w:rPr>
      </w:pPr>
      <w:r w:rsidRPr="00712409">
        <w:rPr>
          <w:rFonts w:asciiTheme="minorHAnsi" w:hAnsiTheme="minorHAnsi"/>
          <w:b/>
          <w:szCs w:val="24"/>
          <w:u w:val="single"/>
        </w:rPr>
        <w:t>Policies:</w:t>
      </w:r>
    </w:p>
    <w:p w:rsidR="00EC1E0D" w:rsidRPr="00130441" w:rsidRDefault="00EC1E0D">
      <w:pPr>
        <w:pStyle w:val="BodyText"/>
        <w:rPr>
          <w:rFonts w:asciiTheme="minorHAnsi" w:hAnsiTheme="minorHAnsi"/>
          <w:sz w:val="20"/>
        </w:rPr>
      </w:pPr>
    </w:p>
    <w:p w:rsidR="00D05619" w:rsidRDefault="00EC1E0D" w:rsidP="00201074">
      <w:pPr>
        <w:pStyle w:val="BodyText"/>
        <w:rPr>
          <w:rFonts w:asciiTheme="minorHAnsi" w:hAnsiTheme="minorHAnsi"/>
          <w:sz w:val="20"/>
        </w:rPr>
      </w:pPr>
      <w:r w:rsidRPr="00130441">
        <w:rPr>
          <w:rFonts w:asciiTheme="minorHAnsi" w:hAnsiTheme="minorHAnsi"/>
          <w:sz w:val="20"/>
        </w:rPr>
        <w:t>The regulations issued by the National Institutes of Health (NIH)</w:t>
      </w:r>
      <w:r w:rsidR="00E51E44">
        <w:rPr>
          <w:rFonts w:asciiTheme="minorHAnsi" w:hAnsiTheme="minorHAnsi"/>
          <w:sz w:val="20"/>
        </w:rPr>
        <w:t xml:space="preserve"> </w:t>
      </w:r>
      <w:r w:rsidR="00E51E44" w:rsidRPr="00E51E44">
        <w:rPr>
          <w:rFonts w:asciiTheme="minorHAnsi" w:hAnsiTheme="minorHAnsi"/>
          <w:sz w:val="20"/>
        </w:rPr>
        <w:t>all other Department of Health and Human Services (DHHS) Agencies</w:t>
      </w:r>
      <w:r w:rsidR="00E51E44">
        <w:rPr>
          <w:rFonts w:asciiTheme="minorHAnsi" w:hAnsiTheme="minorHAnsi"/>
          <w:sz w:val="20"/>
        </w:rPr>
        <w:t xml:space="preserve"> in</w:t>
      </w:r>
      <w:r w:rsidRPr="00130441">
        <w:rPr>
          <w:rFonts w:asciiTheme="minorHAnsi" w:hAnsiTheme="minorHAnsi"/>
          <w:sz w:val="20"/>
        </w:rPr>
        <w:t>clude a section covering direct salary limits for individuals charged to grants, cooperative agreements and contracts.  Direct salary is exclusive of fringe benefits and facilities and administrative (F&amp;A) expenses, also referred to as indirect costs.  Compensation for individuals under awards from these three agencies cannot exceed a stipulated rate of pay per year or per academic appointment (see schedule noted below).  The term “rate of pay “ can be further described as follows: the rate of salary or wages that an individual earns for services performed (weekly, bi-weekly, monthly). The appropriate salary cap rate must be applied to competing and non-competing awards based upon the federal fiscal year</w:t>
      </w:r>
      <w:r w:rsidR="00620F2B" w:rsidRPr="00130441">
        <w:rPr>
          <w:rFonts w:asciiTheme="minorHAnsi" w:hAnsiTheme="minorHAnsi"/>
          <w:sz w:val="20"/>
        </w:rPr>
        <w:t xml:space="preserve"> (FFY)</w:t>
      </w:r>
      <w:r w:rsidRPr="00130441">
        <w:rPr>
          <w:rFonts w:asciiTheme="minorHAnsi" w:hAnsiTheme="minorHAnsi"/>
          <w:sz w:val="20"/>
        </w:rPr>
        <w:t xml:space="preserve"> (10/XX – 9/YY) in which </w:t>
      </w:r>
      <w:r w:rsidR="00E45A5B" w:rsidRPr="00130441">
        <w:rPr>
          <w:rFonts w:asciiTheme="minorHAnsi" w:hAnsiTheme="minorHAnsi"/>
          <w:sz w:val="20"/>
        </w:rPr>
        <w:t xml:space="preserve">the </w:t>
      </w:r>
      <w:r w:rsidRPr="00130441">
        <w:rPr>
          <w:rFonts w:asciiTheme="minorHAnsi" w:hAnsiTheme="minorHAnsi"/>
          <w:sz w:val="20"/>
        </w:rPr>
        <w:t>Notice of Grant Award was issued.  For faculty members who receive a salary that exceeds the applicable rate, the amount of salary requested/charged to a NIH/</w:t>
      </w:r>
      <w:r w:rsidR="00B757AD">
        <w:rPr>
          <w:rFonts w:asciiTheme="minorHAnsi" w:hAnsiTheme="minorHAnsi"/>
          <w:sz w:val="20"/>
        </w:rPr>
        <w:t>DHHS</w:t>
      </w:r>
      <w:r w:rsidRPr="00130441">
        <w:rPr>
          <w:rFonts w:asciiTheme="minorHAnsi" w:hAnsiTheme="minorHAnsi"/>
          <w:sz w:val="20"/>
        </w:rPr>
        <w:t xml:space="preserve"> award must be limited to their effort percentage multiplied by the salary cap rate.  Faculty and administrative staff in the </w:t>
      </w:r>
      <w:r w:rsidR="00E45A5B" w:rsidRPr="00130441">
        <w:rPr>
          <w:rFonts w:asciiTheme="minorHAnsi" w:hAnsiTheme="minorHAnsi"/>
          <w:sz w:val="20"/>
        </w:rPr>
        <w:t>academic</w:t>
      </w:r>
      <w:r w:rsidRPr="00130441">
        <w:rPr>
          <w:rFonts w:asciiTheme="minorHAnsi" w:hAnsiTheme="minorHAnsi"/>
          <w:sz w:val="20"/>
        </w:rPr>
        <w:t xml:space="preserve"> departments are responsible for applying the appropriate salary cap rate in all applicable proposals and existing awards.</w:t>
      </w:r>
    </w:p>
    <w:p w:rsidR="005707DC" w:rsidRPr="00130441" w:rsidRDefault="005707DC" w:rsidP="00201074">
      <w:pPr>
        <w:pStyle w:val="BodyText"/>
        <w:rPr>
          <w:rFonts w:asciiTheme="minorHAnsi" w:hAnsiTheme="minorHAnsi"/>
          <w:b/>
        </w:rPr>
      </w:pPr>
    </w:p>
    <w:p w:rsidR="00EE7B8D" w:rsidRPr="00130441" w:rsidRDefault="00EE7B8D" w:rsidP="00D02EB7">
      <w:pPr>
        <w:tabs>
          <w:tab w:val="left" w:pos="0"/>
        </w:tabs>
        <w:suppressAutoHyphens/>
        <w:ind w:left="2160" w:hanging="2160"/>
        <w:rPr>
          <w:rFonts w:asciiTheme="minorHAnsi" w:hAnsiTheme="minorHAnsi"/>
          <w:b/>
        </w:rPr>
      </w:pPr>
    </w:p>
    <w:p w:rsidR="00B70B56" w:rsidRPr="00D042B4" w:rsidRDefault="00B70B56" w:rsidP="00B70B56">
      <w:pPr>
        <w:tabs>
          <w:tab w:val="left" w:pos="0"/>
        </w:tabs>
        <w:suppressAutoHyphens/>
        <w:ind w:left="2160" w:hanging="2160"/>
        <w:rPr>
          <w:rFonts w:asciiTheme="minorHAnsi" w:hAnsiTheme="minorHAnsi"/>
        </w:rPr>
      </w:pPr>
      <w:r w:rsidRPr="00130441">
        <w:rPr>
          <w:rFonts w:asciiTheme="minorHAnsi" w:hAnsiTheme="minorHAnsi"/>
          <w:b/>
        </w:rPr>
        <w:t>FFY 20</w:t>
      </w:r>
      <w:r w:rsidR="00395A57">
        <w:rPr>
          <w:rFonts w:asciiTheme="minorHAnsi" w:hAnsiTheme="minorHAnsi"/>
          <w:b/>
        </w:rPr>
        <w:t>20</w:t>
      </w:r>
      <w:r w:rsidRPr="00130441">
        <w:rPr>
          <w:rFonts w:asciiTheme="minorHAnsi" w:hAnsiTheme="minorHAnsi"/>
          <w:b/>
        </w:rPr>
        <w:t xml:space="preserve"> Awards:</w:t>
      </w:r>
      <w:r w:rsidRPr="00130441">
        <w:rPr>
          <w:rFonts w:asciiTheme="minorHAnsi" w:hAnsiTheme="minorHAnsi"/>
          <w:b/>
        </w:rPr>
        <w:tab/>
      </w:r>
      <w:r w:rsidRPr="00130441">
        <w:rPr>
          <w:rFonts w:asciiTheme="minorHAnsi" w:hAnsiTheme="minorHAnsi"/>
        </w:rPr>
        <w:t>The award date on the NIH Notice of Award (competing and non-competing</w:t>
      </w:r>
      <w:r w:rsidRPr="00D042B4">
        <w:rPr>
          <w:rFonts w:asciiTheme="minorHAnsi" w:hAnsiTheme="minorHAnsi"/>
        </w:rPr>
        <w:t>) is on or after 10/01/</w:t>
      </w:r>
      <w:r w:rsidR="00CE77B8" w:rsidRPr="00D042B4">
        <w:rPr>
          <w:rFonts w:asciiTheme="minorHAnsi" w:hAnsiTheme="minorHAnsi"/>
        </w:rPr>
        <w:t>1</w:t>
      </w:r>
      <w:r w:rsidR="00395A57" w:rsidRPr="00D042B4">
        <w:rPr>
          <w:rFonts w:asciiTheme="minorHAnsi" w:hAnsiTheme="minorHAnsi"/>
        </w:rPr>
        <w:t>9</w:t>
      </w:r>
      <w:r w:rsidRPr="00D042B4">
        <w:rPr>
          <w:rFonts w:asciiTheme="minorHAnsi" w:hAnsiTheme="minorHAnsi"/>
        </w:rPr>
        <w:t xml:space="preserve">, Executive Level </w:t>
      </w:r>
      <w:r w:rsidR="00621DB7" w:rsidRPr="00D042B4">
        <w:rPr>
          <w:rFonts w:asciiTheme="minorHAnsi" w:hAnsiTheme="minorHAnsi"/>
        </w:rPr>
        <w:t xml:space="preserve">II </w:t>
      </w:r>
      <w:r w:rsidRPr="00D042B4">
        <w:rPr>
          <w:rFonts w:asciiTheme="minorHAnsi" w:hAnsiTheme="minorHAnsi"/>
        </w:rPr>
        <w:t>rates apply.</w:t>
      </w:r>
    </w:p>
    <w:p w:rsidR="00B70B56" w:rsidRPr="000A2616" w:rsidRDefault="00B70B56" w:rsidP="00B70B56">
      <w:pPr>
        <w:tabs>
          <w:tab w:val="left" w:pos="0"/>
        </w:tabs>
        <w:suppressAutoHyphens/>
        <w:ind w:left="2160" w:hanging="2160"/>
        <w:rPr>
          <w:rFonts w:asciiTheme="minorHAnsi" w:hAnsiTheme="minorHAnsi"/>
        </w:rPr>
      </w:pPr>
      <w:r w:rsidRPr="000A2616">
        <w:rPr>
          <w:rFonts w:asciiTheme="minorHAnsi" w:hAnsiTheme="minorHAnsi"/>
        </w:rPr>
        <w:tab/>
      </w:r>
      <w:r w:rsidRPr="000A2616">
        <w:rPr>
          <w:rFonts w:asciiTheme="minorHAnsi" w:hAnsiTheme="minorHAnsi"/>
          <w:u w:val="single"/>
        </w:rPr>
        <w:t>Budget Period</w:t>
      </w:r>
      <w:r w:rsidRPr="000A2616">
        <w:rPr>
          <w:rFonts w:asciiTheme="minorHAnsi" w:hAnsiTheme="minorHAnsi"/>
        </w:rPr>
        <w:tab/>
      </w:r>
      <w:r w:rsidRPr="000A2616">
        <w:rPr>
          <w:rFonts w:asciiTheme="minorHAnsi" w:hAnsiTheme="minorHAnsi"/>
        </w:rPr>
        <w:tab/>
      </w:r>
      <w:r w:rsidRPr="000A2616">
        <w:rPr>
          <w:rFonts w:asciiTheme="minorHAnsi" w:hAnsiTheme="minorHAnsi"/>
          <w:u w:val="single"/>
        </w:rPr>
        <w:t>Max Salary Rate (ann.)</w:t>
      </w:r>
      <w:r w:rsidRPr="000A2616">
        <w:rPr>
          <w:rFonts w:asciiTheme="minorHAnsi" w:hAnsiTheme="minorHAnsi"/>
        </w:rPr>
        <w:tab/>
      </w:r>
      <w:r w:rsidR="002E0120" w:rsidRPr="000A2616">
        <w:rPr>
          <w:rFonts w:asciiTheme="minorHAnsi" w:hAnsiTheme="minorHAnsi"/>
          <w:u w:val="single"/>
        </w:rPr>
        <w:t>Max Salary Rate (monthly</w:t>
      </w:r>
      <w:r w:rsidRPr="000A2616">
        <w:rPr>
          <w:rFonts w:asciiTheme="minorHAnsi" w:hAnsiTheme="minorHAnsi"/>
          <w:u w:val="single"/>
        </w:rPr>
        <w:t>)</w:t>
      </w:r>
    </w:p>
    <w:p w:rsidR="00395A57" w:rsidRPr="00395A57" w:rsidRDefault="00B70B56" w:rsidP="00395A57">
      <w:pPr>
        <w:tabs>
          <w:tab w:val="left" w:pos="0"/>
        </w:tabs>
        <w:suppressAutoHyphens/>
        <w:ind w:left="2160" w:hanging="2160"/>
        <w:rPr>
          <w:rFonts w:asciiTheme="minorHAnsi" w:hAnsiTheme="minorHAnsi"/>
        </w:rPr>
      </w:pPr>
      <w:r w:rsidRPr="000A2616">
        <w:rPr>
          <w:rFonts w:asciiTheme="minorHAnsi" w:hAnsiTheme="minorHAnsi"/>
        </w:rPr>
        <w:tab/>
      </w:r>
      <w:r w:rsidR="00395A57" w:rsidRPr="00395A57">
        <w:rPr>
          <w:rFonts w:asciiTheme="minorHAnsi" w:hAnsiTheme="minorHAnsi"/>
        </w:rPr>
        <w:t>01/06/19 – 01/04/20</w:t>
      </w:r>
      <w:r w:rsidR="00395A57" w:rsidRPr="00395A57">
        <w:rPr>
          <w:rFonts w:asciiTheme="minorHAnsi" w:hAnsiTheme="minorHAnsi"/>
        </w:rPr>
        <w:tab/>
      </w:r>
      <w:r w:rsidR="00395A57" w:rsidRPr="00395A57">
        <w:rPr>
          <w:rFonts w:asciiTheme="minorHAnsi" w:hAnsiTheme="minorHAnsi"/>
        </w:rPr>
        <w:tab/>
        <w:t>$192,300</w:t>
      </w:r>
      <w:r w:rsidR="00395A57" w:rsidRPr="00395A57">
        <w:rPr>
          <w:rFonts w:asciiTheme="minorHAnsi" w:hAnsiTheme="minorHAnsi"/>
        </w:rPr>
        <w:tab/>
      </w:r>
      <w:r w:rsidR="00395A57" w:rsidRPr="00395A57">
        <w:rPr>
          <w:rFonts w:asciiTheme="minorHAnsi" w:hAnsiTheme="minorHAnsi"/>
        </w:rPr>
        <w:tab/>
        <w:t>$16,025</w:t>
      </w:r>
    </w:p>
    <w:p w:rsidR="00395A57" w:rsidRPr="00D042B4" w:rsidRDefault="00395A57" w:rsidP="00395A57">
      <w:pPr>
        <w:tabs>
          <w:tab w:val="left" w:pos="0"/>
        </w:tabs>
        <w:suppressAutoHyphens/>
        <w:ind w:left="2160" w:hanging="2160"/>
        <w:rPr>
          <w:rFonts w:asciiTheme="minorHAnsi" w:hAnsiTheme="minorHAnsi"/>
          <w:color w:val="0000FF"/>
        </w:rPr>
      </w:pPr>
      <w:r>
        <w:rPr>
          <w:rFonts w:asciiTheme="minorHAnsi" w:hAnsiTheme="minorHAnsi"/>
          <w:b/>
          <w:color w:val="0000FF"/>
        </w:rPr>
        <w:tab/>
      </w:r>
      <w:r w:rsidRPr="00D042B4">
        <w:rPr>
          <w:rFonts w:asciiTheme="minorHAnsi" w:hAnsiTheme="minorHAnsi"/>
        </w:rPr>
        <w:t xml:space="preserve">01/05/20 </w:t>
      </w:r>
      <w:r w:rsidR="00D042B4" w:rsidRPr="00D042B4">
        <w:rPr>
          <w:rFonts w:asciiTheme="minorHAnsi" w:hAnsiTheme="minorHAnsi"/>
        </w:rPr>
        <w:t>– 01/</w:t>
      </w:r>
      <w:r w:rsidR="001C3F56">
        <w:rPr>
          <w:rFonts w:asciiTheme="minorHAnsi" w:hAnsiTheme="minorHAnsi"/>
        </w:rPr>
        <w:t>02</w:t>
      </w:r>
      <w:r w:rsidR="00D042B4" w:rsidRPr="00D042B4">
        <w:rPr>
          <w:rFonts w:asciiTheme="minorHAnsi" w:hAnsiTheme="minorHAnsi"/>
        </w:rPr>
        <w:t>/21</w:t>
      </w:r>
      <w:r w:rsidRPr="00D042B4">
        <w:rPr>
          <w:rFonts w:asciiTheme="minorHAnsi" w:hAnsiTheme="minorHAnsi"/>
        </w:rPr>
        <w:tab/>
      </w:r>
      <w:r w:rsidRPr="00D042B4">
        <w:rPr>
          <w:rFonts w:asciiTheme="minorHAnsi" w:hAnsiTheme="minorHAnsi"/>
        </w:rPr>
        <w:tab/>
        <w:t>$197,300</w:t>
      </w:r>
      <w:r w:rsidRPr="00D042B4">
        <w:rPr>
          <w:rFonts w:asciiTheme="minorHAnsi" w:hAnsiTheme="minorHAnsi"/>
        </w:rPr>
        <w:tab/>
      </w:r>
      <w:r w:rsidRPr="00D042B4">
        <w:rPr>
          <w:rFonts w:asciiTheme="minorHAnsi" w:hAnsiTheme="minorHAnsi"/>
        </w:rPr>
        <w:tab/>
        <w:t>$16,442</w:t>
      </w:r>
    </w:p>
    <w:p w:rsidR="00D042B4" w:rsidRPr="00227CBA" w:rsidRDefault="00D042B4" w:rsidP="00395A57">
      <w:pPr>
        <w:tabs>
          <w:tab w:val="left" w:pos="0"/>
        </w:tabs>
        <w:suppressAutoHyphens/>
        <w:ind w:left="2160" w:hanging="2160"/>
        <w:rPr>
          <w:rFonts w:asciiTheme="minorHAnsi" w:hAnsiTheme="minorHAnsi"/>
          <w:color w:val="0000FF"/>
        </w:rPr>
      </w:pPr>
      <w:r>
        <w:rPr>
          <w:rFonts w:asciiTheme="minorHAnsi" w:hAnsiTheme="minorHAnsi"/>
          <w:b/>
          <w:color w:val="0000FF"/>
        </w:rPr>
        <w:tab/>
      </w:r>
      <w:r w:rsidRPr="00227CBA">
        <w:rPr>
          <w:rFonts w:asciiTheme="minorHAnsi" w:hAnsiTheme="minorHAnsi"/>
        </w:rPr>
        <w:t>01/</w:t>
      </w:r>
      <w:r w:rsidR="001C3F56" w:rsidRPr="00227CBA">
        <w:rPr>
          <w:rFonts w:asciiTheme="minorHAnsi" w:hAnsiTheme="minorHAnsi"/>
        </w:rPr>
        <w:t>03</w:t>
      </w:r>
      <w:r w:rsidRPr="00227CBA">
        <w:rPr>
          <w:rFonts w:asciiTheme="minorHAnsi" w:hAnsiTheme="minorHAnsi"/>
        </w:rPr>
        <w:t xml:space="preserve">/21 </w:t>
      </w:r>
      <w:r w:rsidR="00227CBA" w:rsidRPr="00227CBA">
        <w:rPr>
          <w:rFonts w:asciiTheme="minorHAnsi" w:hAnsiTheme="minorHAnsi"/>
        </w:rPr>
        <w:t>– 01/</w:t>
      </w:r>
      <w:r w:rsidR="00497EC8">
        <w:rPr>
          <w:rFonts w:asciiTheme="minorHAnsi" w:hAnsiTheme="minorHAnsi"/>
        </w:rPr>
        <w:t>0</w:t>
      </w:r>
      <w:r w:rsidR="00227CBA" w:rsidRPr="00227CBA">
        <w:rPr>
          <w:rFonts w:asciiTheme="minorHAnsi" w:hAnsiTheme="minorHAnsi"/>
        </w:rPr>
        <w:t>1/22</w:t>
      </w:r>
      <w:r w:rsidRPr="00227CBA">
        <w:rPr>
          <w:rFonts w:asciiTheme="minorHAnsi" w:hAnsiTheme="minorHAnsi"/>
        </w:rPr>
        <w:tab/>
      </w:r>
      <w:r w:rsidRPr="00227CBA">
        <w:rPr>
          <w:rFonts w:asciiTheme="minorHAnsi" w:hAnsiTheme="minorHAnsi"/>
        </w:rPr>
        <w:tab/>
        <w:t>$199,300</w:t>
      </w:r>
      <w:r w:rsidRPr="00227CBA">
        <w:rPr>
          <w:rFonts w:asciiTheme="minorHAnsi" w:hAnsiTheme="minorHAnsi"/>
        </w:rPr>
        <w:tab/>
      </w:r>
      <w:r w:rsidRPr="00227CBA">
        <w:rPr>
          <w:rFonts w:asciiTheme="minorHAnsi" w:hAnsiTheme="minorHAnsi"/>
        </w:rPr>
        <w:tab/>
        <w:t>$16,608</w:t>
      </w:r>
    </w:p>
    <w:p w:rsidR="00227CBA" w:rsidRPr="00292F4C" w:rsidRDefault="00227CBA" w:rsidP="00395A57">
      <w:pPr>
        <w:tabs>
          <w:tab w:val="left" w:pos="0"/>
        </w:tabs>
        <w:suppressAutoHyphens/>
        <w:ind w:left="2160" w:hanging="2160"/>
        <w:rPr>
          <w:rFonts w:asciiTheme="minorHAnsi" w:hAnsiTheme="minorHAnsi"/>
          <w:b/>
          <w:color w:val="0000FF"/>
        </w:rPr>
      </w:pPr>
      <w:r>
        <w:rPr>
          <w:rFonts w:asciiTheme="minorHAnsi" w:hAnsiTheme="minorHAnsi"/>
          <w:b/>
          <w:color w:val="0000FF"/>
        </w:rPr>
        <w:tab/>
        <w:t>01/02/22 and beyond</w:t>
      </w:r>
      <w:r>
        <w:rPr>
          <w:rFonts w:asciiTheme="minorHAnsi" w:hAnsiTheme="minorHAnsi"/>
          <w:b/>
          <w:color w:val="0000FF"/>
        </w:rPr>
        <w:tab/>
      </w:r>
      <w:r>
        <w:rPr>
          <w:rFonts w:asciiTheme="minorHAnsi" w:hAnsiTheme="minorHAnsi"/>
          <w:b/>
          <w:color w:val="0000FF"/>
        </w:rPr>
        <w:tab/>
        <w:t>$203,700</w:t>
      </w:r>
      <w:r>
        <w:rPr>
          <w:rFonts w:asciiTheme="minorHAnsi" w:hAnsiTheme="minorHAnsi"/>
          <w:b/>
          <w:color w:val="0000FF"/>
        </w:rPr>
        <w:tab/>
      </w:r>
      <w:r>
        <w:rPr>
          <w:rFonts w:asciiTheme="minorHAnsi" w:hAnsiTheme="minorHAnsi"/>
          <w:b/>
          <w:color w:val="0000FF"/>
        </w:rPr>
        <w:tab/>
        <w:t>$16,975</w:t>
      </w:r>
    </w:p>
    <w:p w:rsidR="00292F4C" w:rsidRPr="00292F4C" w:rsidRDefault="00292F4C" w:rsidP="009144D4">
      <w:pPr>
        <w:tabs>
          <w:tab w:val="left" w:pos="0"/>
        </w:tabs>
        <w:suppressAutoHyphens/>
        <w:ind w:left="2160" w:hanging="2160"/>
        <w:rPr>
          <w:rFonts w:asciiTheme="minorHAnsi" w:hAnsiTheme="minorHAnsi"/>
          <w:b/>
          <w:color w:val="0000FF"/>
        </w:rPr>
      </w:pPr>
    </w:p>
    <w:p w:rsidR="00893C0A" w:rsidRPr="000A2616" w:rsidRDefault="00893C0A" w:rsidP="00893C0A">
      <w:pPr>
        <w:tabs>
          <w:tab w:val="left" w:pos="0"/>
        </w:tabs>
        <w:suppressAutoHyphens/>
        <w:ind w:left="2160" w:hanging="2160"/>
        <w:rPr>
          <w:rFonts w:asciiTheme="minorHAnsi" w:hAnsiTheme="minorHAnsi"/>
        </w:rPr>
      </w:pPr>
      <w:r w:rsidRPr="00130441">
        <w:rPr>
          <w:rFonts w:asciiTheme="minorHAnsi" w:hAnsiTheme="minorHAnsi"/>
          <w:b/>
        </w:rPr>
        <w:t>FFY 20</w:t>
      </w:r>
      <w:r>
        <w:rPr>
          <w:rFonts w:asciiTheme="minorHAnsi" w:hAnsiTheme="minorHAnsi"/>
          <w:b/>
        </w:rPr>
        <w:t>2</w:t>
      </w:r>
      <w:r w:rsidR="00D042B4">
        <w:rPr>
          <w:rFonts w:asciiTheme="minorHAnsi" w:hAnsiTheme="minorHAnsi"/>
          <w:b/>
        </w:rPr>
        <w:t>1</w:t>
      </w:r>
      <w:r w:rsidRPr="00130441">
        <w:rPr>
          <w:rFonts w:asciiTheme="minorHAnsi" w:hAnsiTheme="minorHAnsi"/>
          <w:b/>
        </w:rPr>
        <w:t xml:space="preserve"> Awards:</w:t>
      </w:r>
      <w:r w:rsidRPr="00130441">
        <w:rPr>
          <w:rFonts w:asciiTheme="minorHAnsi" w:hAnsiTheme="minorHAnsi"/>
          <w:b/>
        </w:rPr>
        <w:tab/>
      </w:r>
      <w:r w:rsidRPr="00130441">
        <w:rPr>
          <w:rFonts w:asciiTheme="minorHAnsi" w:hAnsiTheme="minorHAnsi"/>
        </w:rPr>
        <w:t xml:space="preserve">The award date on the NIH Notice of Award (competing and non-competing) </w:t>
      </w:r>
      <w:r w:rsidRPr="000A2616">
        <w:rPr>
          <w:rFonts w:asciiTheme="minorHAnsi" w:hAnsiTheme="minorHAnsi"/>
          <w:color w:val="0000FF"/>
        </w:rPr>
        <w:t>is on or after 10/01/</w:t>
      </w:r>
      <w:r w:rsidR="00D042B4">
        <w:rPr>
          <w:rFonts w:asciiTheme="minorHAnsi" w:hAnsiTheme="minorHAnsi"/>
          <w:color w:val="0000FF"/>
        </w:rPr>
        <w:t>20</w:t>
      </w:r>
      <w:r w:rsidRPr="000A2616">
        <w:rPr>
          <w:rFonts w:asciiTheme="minorHAnsi" w:hAnsiTheme="minorHAnsi"/>
        </w:rPr>
        <w:t>, Executive Level II rates apply.</w:t>
      </w:r>
    </w:p>
    <w:p w:rsidR="00893C0A" w:rsidRPr="000A2616" w:rsidRDefault="00893C0A" w:rsidP="00893C0A">
      <w:pPr>
        <w:tabs>
          <w:tab w:val="left" w:pos="0"/>
        </w:tabs>
        <w:suppressAutoHyphens/>
        <w:ind w:left="2160" w:hanging="2160"/>
        <w:rPr>
          <w:rFonts w:asciiTheme="minorHAnsi" w:hAnsiTheme="minorHAnsi"/>
        </w:rPr>
      </w:pPr>
      <w:r w:rsidRPr="000A2616">
        <w:rPr>
          <w:rFonts w:asciiTheme="minorHAnsi" w:hAnsiTheme="minorHAnsi"/>
        </w:rPr>
        <w:tab/>
      </w:r>
      <w:r w:rsidRPr="000A2616">
        <w:rPr>
          <w:rFonts w:asciiTheme="minorHAnsi" w:hAnsiTheme="minorHAnsi"/>
          <w:u w:val="single"/>
        </w:rPr>
        <w:t>Budget Period</w:t>
      </w:r>
      <w:r w:rsidRPr="000A2616">
        <w:rPr>
          <w:rFonts w:asciiTheme="minorHAnsi" w:hAnsiTheme="minorHAnsi"/>
        </w:rPr>
        <w:tab/>
      </w:r>
      <w:r w:rsidRPr="000A2616">
        <w:rPr>
          <w:rFonts w:asciiTheme="minorHAnsi" w:hAnsiTheme="minorHAnsi"/>
        </w:rPr>
        <w:tab/>
      </w:r>
      <w:r w:rsidRPr="000A2616">
        <w:rPr>
          <w:rFonts w:asciiTheme="minorHAnsi" w:hAnsiTheme="minorHAnsi"/>
          <w:u w:val="single"/>
        </w:rPr>
        <w:t>Max Salary Rate (ann.)</w:t>
      </w:r>
      <w:r w:rsidRPr="000A2616">
        <w:rPr>
          <w:rFonts w:asciiTheme="minorHAnsi" w:hAnsiTheme="minorHAnsi"/>
        </w:rPr>
        <w:tab/>
      </w:r>
      <w:r w:rsidRPr="000A2616">
        <w:rPr>
          <w:rFonts w:asciiTheme="minorHAnsi" w:hAnsiTheme="minorHAnsi"/>
          <w:u w:val="single"/>
        </w:rPr>
        <w:t>Max Salary Rate (monthly)</w:t>
      </w:r>
    </w:p>
    <w:p w:rsidR="00893C0A" w:rsidRPr="00D042B4" w:rsidRDefault="00893C0A" w:rsidP="00893C0A">
      <w:pPr>
        <w:tabs>
          <w:tab w:val="left" w:pos="0"/>
        </w:tabs>
        <w:suppressAutoHyphens/>
        <w:ind w:left="2160" w:hanging="2160"/>
        <w:rPr>
          <w:rFonts w:asciiTheme="minorHAnsi" w:hAnsiTheme="minorHAnsi"/>
        </w:rPr>
      </w:pPr>
      <w:r w:rsidRPr="000A2616">
        <w:rPr>
          <w:rFonts w:asciiTheme="minorHAnsi" w:hAnsiTheme="minorHAnsi"/>
        </w:rPr>
        <w:tab/>
      </w:r>
      <w:r w:rsidRPr="00D042B4">
        <w:rPr>
          <w:rFonts w:asciiTheme="minorHAnsi" w:hAnsiTheme="minorHAnsi"/>
        </w:rPr>
        <w:t>01/05/20</w:t>
      </w:r>
      <w:r w:rsidR="00D042B4" w:rsidRPr="00D042B4">
        <w:rPr>
          <w:rFonts w:asciiTheme="minorHAnsi" w:hAnsiTheme="minorHAnsi"/>
        </w:rPr>
        <w:t xml:space="preserve"> – 01/</w:t>
      </w:r>
      <w:r w:rsidR="001C3F56">
        <w:rPr>
          <w:rFonts w:asciiTheme="minorHAnsi" w:hAnsiTheme="minorHAnsi"/>
        </w:rPr>
        <w:t>02</w:t>
      </w:r>
      <w:r w:rsidR="00D042B4" w:rsidRPr="00D042B4">
        <w:rPr>
          <w:rFonts w:asciiTheme="minorHAnsi" w:hAnsiTheme="minorHAnsi"/>
        </w:rPr>
        <w:t>/21</w:t>
      </w:r>
      <w:r w:rsidRPr="00D042B4">
        <w:rPr>
          <w:rFonts w:asciiTheme="minorHAnsi" w:hAnsiTheme="minorHAnsi"/>
        </w:rPr>
        <w:tab/>
      </w:r>
      <w:r w:rsidRPr="00D042B4">
        <w:rPr>
          <w:rFonts w:asciiTheme="minorHAnsi" w:hAnsiTheme="minorHAnsi"/>
        </w:rPr>
        <w:tab/>
        <w:t>$197,300</w:t>
      </w:r>
      <w:r w:rsidRPr="00D042B4">
        <w:rPr>
          <w:rFonts w:asciiTheme="minorHAnsi" w:hAnsiTheme="minorHAnsi"/>
        </w:rPr>
        <w:tab/>
      </w:r>
      <w:r w:rsidRPr="00D042B4">
        <w:rPr>
          <w:rFonts w:asciiTheme="minorHAnsi" w:hAnsiTheme="minorHAnsi"/>
        </w:rPr>
        <w:tab/>
        <w:t>$16,442</w:t>
      </w:r>
    </w:p>
    <w:p w:rsidR="001B2C78" w:rsidRDefault="00D042B4" w:rsidP="00A972E4">
      <w:pPr>
        <w:tabs>
          <w:tab w:val="left" w:pos="0"/>
        </w:tabs>
        <w:suppressAutoHyphens/>
        <w:ind w:left="2160" w:hanging="2160"/>
        <w:rPr>
          <w:rFonts w:asciiTheme="minorHAnsi" w:hAnsiTheme="minorHAnsi"/>
        </w:rPr>
      </w:pPr>
      <w:r>
        <w:rPr>
          <w:rFonts w:asciiTheme="minorHAnsi" w:hAnsiTheme="minorHAnsi"/>
          <w:b/>
          <w:color w:val="0000FF"/>
        </w:rPr>
        <w:tab/>
      </w:r>
      <w:r w:rsidRPr="00497EC8">
        <w:rPr>
          <w:rFonts w:asciiTheme="minorHAnsi" w:hAnsiTheme="minorHAnsi"/>
        </w:rPr>
        <w:t>01/</w:t>
      </w:r>
      <w:r w:rsidR="001C3F56" w:rsidRPr="00497EC8">
        <w:rPr>
          <w:rFonts w:asciiTheme="minorHAnsi" w:hAnsiTheme="minorHAnsi"/>
        </w:rPr>
        <w:t>03</w:t>
      </w:r>
      <w:r w:rsidRPr="00497EC8">
        <w:rPr>
          <w:rFonts w:asciiTheme="minorHAnsi" w:hAnsiTheme="minorHAnsi"/>
        </w:rPr>
        <w:t xml:space="preserve">/21 </w:t>
      </w:r>
      <w:r w:rsidR="00497EC8" w:rsidRPr="00497EC8">
        <w:rPr>
          <w:rFonts w:asciiTheme="minorHAnsi" w:hAnsiTheme="minorHAnsi"/>
        </w:rPr>
        <w:t>-01/01/22</w:t>
      </w:r>
      <w:r w:rsidRPr="00497EC8">
        <w:rPr>
          <w:rFonts w:asciiTheme="minorHAnsi" w:hAnsiTheme="minorHAnsi"/>
        </w:rPr>
        <w:tab/>
      </w:r>
      <w:r w:rsidRPr="00497EC8">
        <w:rPr>
          <w:rFonts w:asciiTheme="minorHAnsi" w:hAnsiTheme="minorHAnsi"/>
        </w:rPr>
        <w:tab/>
        <w:t>$199,300</w:t>
      </w:r>
      <w:r w:rsidRPr="00497EC8">
        <w:rPr>
          <w:rFonts w:asciiTheme="minorHAnsi" w:hAnsiTheme="minorHAnsi"/>
        </w:rPr>
        <w:tab/>
      </w:r>
      <w:r w:rsidRPr="00497EC8">
        <w:rPr>
          <w:rFonts w:asciiTheme="minorHAnsi" w:hAnsiTheme="minorHAnsi"/>
        </w:rPr>
        <w:tab/>
        <w:t>$16,608</w:t>
      </w:r>
    </w:p>
    <w:p w:rsidR="00497EC8" w:rsidRPr="00497EC8" w:rsidRDefault="00497EC8" w:rsidP="00A972E4">
      <w:pPr>
        <w:tabs>
          <w:tab w:val="left" w:pos="0"/>
        </w:tabs>
        <w:suppressAutoHyphens/>
        <w:ind w:left="2160" w:hanging="2160"/>
        <w:rPr>
          <w:rFonts w:asciiTheme="minorHAnsi" w:hAnsiTheme="minorHAnsi"/>
          <w:color w:val="0000FF"/>
        </w:rPr>
      </w:pPr>
      <w:r>
        <w:rPr>
          <w:rFonts w:asciiTheme="minorHAnsi" w:hAnsiTheme="minorHAnsi"/>
        </w:rPr>
        <w:tab/>
      </w:r>
      <w:r>
        <w:rPr>
          <w:rFonts w:asciiTheme="minorHAnsi" w:hAnsiTheme="minorHAnsi"/>
          <w:b/>
          <w:color w:val="0000FF"/>
        </w:rPr>
        <w:t>01/02/22 and beyond</w:t>
      </w:r>
      <w:r>
        <w:rPr>
          <w:rFonts w:asciiTheme="minorHAnsi" w:hAnsiTheme="minorHAnsi"/>
          <w:b/>
          <w:color w:val="0000FF"/>
        </w:rPr>
        <w:tab/>
      </w:r>
      <w:r>
        <w:rPr>
          <w:rFonts w:asciiTheme="minorHAnsi" w:hAnsiTheme="minorHAnsi"/>
          <w:b/>
          <w:color w:val="0000FF"/>
        </w:rPr>
        <w:tab/>
        <w:t>$203,700</w:t>
      </w:r>
      <w:r>
        <w:rPr>
          <w:rFonts w:asciiTheme="minorHAnsi" w:hAnsiTheme="minorHAnsi"/>
          <w:b/>
          <w:color w:val="0000FF"/>
        </w:rPr>
        <w:tab/>
      </w:r>
      <w:r>
        <w:rPr>
          <w:rFonts w:asciiTheme="minorHAnsi" w:hAnsiTheme="minorHAnsi"/>
          <w:b/>
          <w:color w:val="0000FF"/>
        </w:rPr>
        <w:tab/>
        <w:t>$16,975</w:t>
      </w:r>
    </w:p>
    <w:p w:rsidR="008E4D9A" w:rsidRDefault="008E4D9A" w:rsidP="00A972E4">
      <w:pPr>
        <w:tabs>
          <w:tab w:val="left" w:pos="0"/>
        </w:tabs>
        <w:suppressAutoHyphens/>
        <w:ind w:left="2160" w:hanging="2160"/>
        <w:rPr>
          <w:rFonts w:asciiTheme="minorHAnsi" w:hAnsiTheme="minorHAnsi"/>
          <w:b/>
          <w:color w:val="0000FF"/>
        </w:rPr>
      </w:pPr>
    </w:p>
    <w:p w:rsidR="00227CBA" w:rsidRPr="000A2616" w:rsidRDefault="00227CBA" w:rsidP="00227CBA">
      <w:pPr>
        <w:tabs>
          <w:tab w:val="left" w:pos="0"/>
        </w:tabs>
        <w:suppressAutoHyphens/>
        <w:ind w:left="2160" w:hanging="2160"/>
        <w:rPr>
          <w:rFonts w:asciiTheme="minorHAnsi" w:hAnsiTheme="minorHAnsi"/>
        </w:rPr>
      </w:pPr>
      <w:r w:rsidRPr="00130441">
        <w:rPr>
          <w:rFonts w:asciiTheme="minorHAnsi" w:hAnsiTheme="minorHAnsi"/>
          <w:b/>
        </w:rPr>
        <w:t>FFY 20</w:t>
      </w:r>
      <w:r>
        <w:rPr>
          <w:rFonts w:asciiTheme="minorHAnsi" w:hAnsiTheme="minorHAnsi"/>
          <w:b/>
        </w:rPr>
        <w:t>22</w:t>
      </w:r>
      <w:r w:rsidRPr="00130441">
        <w:rPr>
          <w:rFonts w:asciiTheme="minorHAnsi" w:hAnsiTheme="minorHAnsi"/>
          <w:b/>
        </w:rPr>
        <w:t xml:space="preserve"> Awards:</w:t>
      </w:r>
      <w:r w:rsidRPr="00130441">
        <w:rPr>
          <w:rFonts w:asciiTheme="minorHAnsi" w:hAnsiTheme="minorHAnsi"/>
          <w:b/>
        </w:rPr>
        <w:tab/>
      </w:r>
      <w:r w:rsidRPr="00130441">
        <w:rPr>
          <w:rFonts w:asciiTheme="minorHAnsi" w:hAnsiTheme="minorHAnsi"/>
        </w:rPr>
        <w:t xml:space="preserve">The award date on the NIH Notice of Award (competing and non-competing) </w:t>
      </w:r>
      <w:r w:rsidRPr="000A2616">
        <w:rPr>
          <w:rFonts w:asciiTheme="minorHAnsi" w:hAnsiTheme="minorHAnsi"/>
          <w:color w:val="0000FF"/>
        </w:rPr>
        <w:t>is on or after 10/01/</w:t>
      </w:r>
      <w:r>
        <w:rPr>
          <w:rFonts w:asciiTheme="minorHAnsi" w:hAnsiTheme="minorHAnsi"/>
          <w:color w:val="0000FF"/>
        </w:rPr>
        <w:t>2</w:t>
      </w:r>
      <w:r w:rsidR="00497EC8">
        <w:rPr>
          <w:rFonts w:asciiTheme="minorHAnsi" w:hAnsiTheme="minorHAnsi"/>
          <w:color w:val="0000FF"/>
        </w:rPr>
        <w:t>1</w:t>
      </w:r>
      <w:r w:rsidRPr="000A2616">
        <w:rPr>
          <w:rFonts w:asciiTheme="minorHAnsi" w:hAnsiTheme="minorHAnsi"/>
        </w:rPr>
        <w:t>, Executive Level II rates apply.</w:t>
      </w:r>
    </w:p>
    <w:p w:rsidR="00227CBA" w:rsidRPr="000A2616" w:rsidRDefault="00227CBA" w:rsidP="00227CBA">
      <w:pPr>
        <w:tabs>
          <w:tab w:val="left" w:pos="0"/>
        </w:tabs>
        <w:suppressAutoHyphens/>
        <w:ind w:left="2160" w:hanging="2160"/>
        <w:rPr>
          <w:rFonts w:asciiTheme="minorHAnsi" w:hAnsiTheme="minorHAnsi"/>
        </w:rPr>
      </w:pPr>
      <w:r w:rsidRPr="000A2616">
        <w:rPr>
          <w:rFonts w:asciiTheme="minorHAnsi" w:hAnsiTheme="minorHAnsi"/>
        </w:rPr>
        <w:tab/>
      </w:r>
      <w:r w:rsidRPr="000A2616">
        <w:rPr>
          <w:rFonts w:asciiTheme="minorHAnsi" w:hAnsiTheme="minorHAnsi"/>
          <w:u w:val="single"/>
        </w:rPr>
        <w:t>Budget Period</w:t>
      </w:r>
      <w:r w:rsidRPr="000A2616">
        <w:rPr>
          <w:rFonts w:asciiTheme="minorHAnsi" w:hAnsiTheme="minorHAnsi"/>
        </w:rPr>
        <w:tab/>
      </w:r>
      <w:r w:rsidRPr="000A2616">
        <w:rPr>
          <w:rFonts w:asciiTheme="minorHAnsi" w:hAnsiTheme="minorHAnsi"/>
        </w:rPr>
        <w:tab/>
      </w:r>
      <w:r w:rsidRPr="000A2616">
        <w:rPr>
          <w:rFonts w:asciiTheme="minorHAnsi" w:hAnsiTheme="minorHAnsi"/>
          <w:u w:val="single"/>
        </w:rPr>
        <w:t>Max Salary Rate (ann.)</w:t>
      </w:r>
      <w:r w:rsidRPr="000A2616">
        <w:rPr>
          <w:rFonts w:asciiTheme="minorHAnsi" w:hAnsiTheme="minorHAnsi"/>
        </w:rPr>
        <w:tab/>
      </w:r>
      <w:r w:rsidRPr="000A2616">
        <w:rPr>
          <w:rFonts w:asciiTheme="minorHAnsi" w:hAnsiTheme="minorHAnsi"/>
          <w:u w:val="single"/>
        </w:rPr>
        <w:t>Max Salary Rate (monthly)</w:t>
      </w:r>
    </w:p>
    <w:p w:rsidR="00227CBA" w:rsidRPr="00497EC8" w:rsidRDefault="00227CBA" w:rsidP="00227CBA">
      <w:pPr>
        <w:tabs>
          <w:tab w:val="left" w:pos="0"/>
        </w:tabs>
        <w:suppressAutoHyphens/>
        <w:ind w:left="2160" w:hanging="2160"/>
        <w:rPr>
          <w:rFonts w:asciiTheme="minorHAnsi" w:hAnsiTheme="minorHAnsi"/>
        </w:rPr>
      </w:pPr>
      <w:r w:rsidRPr="000A2616">
        <w:rPr>
          <w:rFonts w:asciiTheme="minorHAnsi" w:hAnsiTheme="minorHAnsi"/>
        </w:rPr>
        <w:tab/>
      </w:r>
      <w:r w:rsidRPr="00497EC8">
        <w:rPr>
          <w:rFonts w:asciiTheme="minorHAnsi" w:hAnsiTheme="minorHAnsi"/>
        </w:rPr>
        <w:t xml:space="preserve">01/03/21 </w:t>
      </w:r>
      <w:r w:rsidR="00497EC8" w:rsidRPr="00497EC8">
        <w:rPr>
          <w:rFonts w:asciiTheme="minorHAnsi" w:hAnsiTheme="minorHAnsi"/>
        </w:rPr>
        <w:t>– 01/01/22</w:t>
      </w:r>
      <w:r w:rsidRPr="00497EC8">
        <w:rPr>
          <w:rFonts w:asciiTheme="minorHAnsi" w:hAnsiTheme="minorHAnsi"/>
        </w:rPr>
        <w:tab/>
      </w:r>
      <w:r w:rsidRPr="00497EC8">
        <w:rPr>
          <w:rFonts w:asciiTheme="minorHAnsi" w:hAnsiTheme="minorHAnsi"/>
        </w:rPr>
        <w:tab/>
        <w:t>$199,300</w:t>
      </w:r>
      <w:r w:rsidRPr="00497EC8">
        <w:rPr>
          <w:rFonts w:asciiTheme="minorHAnsi" w:hAnsiTheme="minorHAnsi"/>
        </w:rPr>
        <w:tab/>
      </w:r>
      <w:r w:rsidRPr="00497EC8">
        <w:rPr>
          <w:rFonts w:asciiTheme="minorHAnsi" w:hAnsiTheme="minorHAnsi"/>
        </w:rPr>
        <w:tab/>
        <w:t>$16,608</w:t>
      </w:r>
    </w:p>
    <w:p w:rsidR="00497EC8" w:rsidRDefault="00497EC8" w:rsidP="00227CBA">
      <w:pPr>
        <w:tabs>
          <w:tab w:val="left" w:pos="0"/>
        </w:tabs>
        <w:suppressAutoHyphens/>
        <w:ind w:left="2160" w:hanging="2160"/>
        <w:rPr>
          <w:rFonts w:asciiTheme="minorHAnsi" w:hAnsiTheme="minorHAnsi"/>
          <w:b/>
          <w:color w:val="0000FF"/>
        </w:rPr>
      </w:pPr>
      <w:r>
        <w:rPr>
          <w:rFonts w:asciiTheme="minorHAnsi" w:hAnsiTheme="minorHAnsi"/>
          <w:b/>
          <w:color w:val="0000FF"/>
        </w:rPr>
        <w:tab/>
        <w:t>01/02/22 and beyond</w:t>
      </w:r>
      <w:r>
        <w:rPr>
          <w:rFonts w:asciiTheme="minorHAnsi" w:hAnsiTheme="minorHAnsi"/>
          <w:b/>
          <w:color w:val="0000FF"/>
        </w:rPr>
        <w:tab/>
      </w:r>
      <w:r>
        <w:rPr>
          <w:rFonts w:asciiTheme="minorHAnsi" w:hAnsiTheme="minorHAnsi"/>
          <w:b/>
          <w:color w:val="0000FF"/>
        </w:rPr>
        <w:tab/>
        <w:t>$203,700</w:t>
      </w:r>
      <w:r>
        <w:rPr>
          <w:rFonts w:asciiTheme="minorHAnsi" w:hAnsiTheme="minorHAnsi"/>
          <w:b/>
          <w:color w:val="0000FF"/>
        </w:rPr>
        <w:tab/>
      </w:r>
      <w:r>
        <w:rPr>
          <w:rFonts w:asciiTheme="minorHAnsi" w:hAnsiTheme="minorHAnsi"/>
          <w:b/>
          <w:color w:val="0000FF"/>
        </w:rPr>
        <w:tab/>
        <w:t>$16,975</w:t>
      </w:r>
    </w:p>
    <w:p w:rsidR="008E4D9A" w:rsidRDefault="008E4D9A" w:rsidP="00A972E4">
      <w:pPr>
        <w:tabs>
          <w:tab w:val="left" w:pos="0"/>
        </w:tabs>
        <w:suppressAutoHyphens/>
        <w:ind w:left="2160" w:hanging="2160"/>
        <w:rPr>
          <w:rFonts w:asciiTheme="minorHAnsi" w:hAnsiTheme="minorHAnsi"/>
          <w:b/>
          <w:color w:val="0000FF"/>
        </w:rPr>
      </w:pPr>
    </w:p>
    <w:p w:rsidR="00767AFC" w:rsidRDefault="00767AFC" w:rsidP="002947D5">
      <w:pPr>
        <w:tabs>
          <w:tab w:val="left" w:pos="0"/>
        </w:tabs>
        <w:suppressAutoHyphens/>
        <w:rPr>
          <w:rFonts w:asciiTheme="minorHAnsi" w:hAnsiTheme="minorHAnsi"/>
          <w:color w:val="0000FF"/>
        </w:rPr>
      </w:pPr>
    </w:p>
    <w:p w:rsidR="00C84755" w:rsidRPr="00123C8B" w:rsidRDefault="00424BC3" w:rsidP="00712409">
      <w:pPr>
        <w:tabs>
          <w:tab w:val="left" w:pos="0"/>
        </w:tabs>
        <w:suppressAutoHyphens/>
        <w:rPr>
          <w:rFonts w:asciiTheme="minorHAnsi" w:hAnsiTheme="minorHAnsi"/>
          <w:u w:val="single"/>
        </w:rPr>
      </w:pPr>
      <w:r w:rsidRPr="00123C8B">
        <w:rPr>
          <w:rFonts w:asciiTheme="minorHAnsi" w:hAnsiTheme="minorHAnsi"/>
          <w:u w:val="single"/>
        </w:rPr>
        <w:t>Subawards:</w:t>
      </w:r>
    </w:p>
    <w:p w:rsidR="00424BC3" w:rsidRPr="00123C8B" w:rsidRDefault="00424BC3" w:rsidP="00712409">
      <w:pPr>
        <w:tabs>
          <w:tab w:val="left" w:pos="0"/>
        </w:tabs>
        <w:suppressAutoHyphens/>
        <w:rPr>
          <w:rFonts w:asciiTheme="minorHAnsi" w:hAnsiTheme="minorHAnsi"/>
        </w:rPr>
      </w:pPr>
      <w:r w:rsidRPr="00123C8B">
        <w:rPr>
          <w:rFonts w:asciiTheme="minorHAnsi" w:hAnsiTheme="minorHAnsi"/>
        </w:rPr>
        <w:t xml:space="preserve">Subawards issued </w:t>
      </w:r>
      <w:r w:rsidRPr="000C287F">
        <w:rPr>
          <w:rFonts w:asciiTheme="minorHAnsi" w:hAnsiTheme="minorHAnsi"/>
          <w:b/>
          <w:i/>
        </w:rPr>
        <w:t>to</w:t>
      </w:r>
      <w:r w:rsidRPr="00123C8B">
        <w:rPr>
          <w:rFonts w:asciiTheme="minorHAnsi" w:hAnsiTheme="minorHAnsi"/>
        </w:rPr>
        <w:t xml:space="preserve"> W</w:t>
      </w:r>
      <w:r w:rsidR="000C287F">
        <w:rPr>
          <w:rFonts w:asciiTheme="minorHAnsi" w:hAnsiTheme="minorHAnsi"/>
        </w:rPr>
        <w:t>ashington University in St. Louis (W</w:t>
      </w:r>
      <w:r w:rsidR="006C37DB">
        <w:rPr>
          <w:rFonts w:asciiTheme="minorHAnsi" w:hAnsiTheme="minorHAnsi"/>
        </w:rPr>
        <w:t>ash</w:t>
      </w:r>
      <w:r w:rsidRPr="00123C8B">
        <w:rPr>
          <w:rFonts w:asciiTheme="minorHAnsi" w:hAnsiTheme="minorHAnsi"/>
        </w:rPr>
        <w:t>U</w:t>
      </w:r>
      <w:r w:rsidR="000C287F">
        <w:rPr>
          <w:rFonts w:asciiTheme="minorHAnsi" w:hAnsiTheme="minorHAnsi"/>
        </w:rPr>
        <w:t>)</w:t>
      </w:r>
      <w:r w:rsidRPr="00123C8B">
        <w:rPr>
          <w:rFonts w:asciiTheme="minorHAnsi" w:hAnsiTheme="minorHAnsi"/>
        </w:rPr>
        <w:t xml:space="preserve"> by another institution/entity that has received an NIH prime grant</w:t>
      </w:r>
      <w:r w:rsidR="00C84755" w:rsidRPr="00123C8B">
        <w:rPr>
          <w:rFonts w:asciiTheme="minorHAnsi" w:hAnsiTheme="minorHAnsi"/>
        </w:rPr>
        <w:t>,</w:t>
      </w:r>
      <w:r w:rsidRPr="00123C8B">
        <w:rPr>
          <w:rFonts w:asciiTheme="minorHAnsi" w:hAnsiTheme="minorHAnsi"/>
        </w:rPr>
        <w:t xml:space="preserve"> cooperative agreement or contact (i.e., incoming subaward) continue to be subject to the salary cap</w:t>
      </w:r>
      <w:r w:rsidR="00C84755" w:rsidRPr="00123C8B">
        <w:rPr>
          <w:rFonts w:asciiTheme="minorHAnsi" w:hAnsiTheme="minorHAnsi"/>
        </w:rPr>
        <w:t xml:space="preserve"> guidelines</w:t>
      </w:r>
      <w:r w:rsidRPr="00123C8B">
        <w:rPr>
          <w:rFonts w:asciiTheme="minorHAnsi" w:hAnsiTheme="minorHAnsi"/>
        </w:rPr>
        <w:t>.  The application of the Level II cap rates is based upon the initial NOA date of the Prime award.</w:t>
      </w:r>
    </w:p>
    <w:p w:rsidR="00C84755" w:rsidRPr="00123C8B" w:rsidRDefault="00C84755" w:rsidP="00712409">
      <w:pPr>
        <w:tabs>
          <w:tab w:val="left" w:pos="0"/>
        </w:tabs>
        <w:suppressAutoHyphens/>
        <w:rPr>
          <w:rFonts w:asciiTheme="minorHAnsi" w:hAnsiTheme="minorHAnsi"/>
        </w:rPr>
      </w:pPr>
    </w:p>
    <w:p w:rsidR="00C84755" w:rsidRPr="00123C8B" w:rsidRDefault="00C84755" w:rsidP="00C84755">
      <w:pPr>
        <w:tabs>
          <w:tab w:val="left" w:pos="0"/>
        </w:tabs>
        <w:suppressAutoHyphens/>
        <w:rPr>
          <w:rFonts w:asciiTheme="minorHAnsi" w:hAnsiTheme="minorHAnsi"/>
        </w:rPr>
      </w:pPr>
      <w:r w:rsidRPr="00123C8B">
        <w:rPr>
          <w:rFonts w:asciiTheme="minorHAnsi" w:hAnsiTheme="minorHAnsi"/>
        </w:rPr>
        <w:t xml:space="preserve">Subawards issued </w:t>
      </w:r>
      <w:r w:rsidRPr="000C287F">
        <w:rPr>
          <w:rFonts w:asciiTheme="minorHAnsi" w:hAnsiTheme="minorHAnsi"/>
          <w:b/>
          <w:i/>
        </w:rPr>
        <w:t>by</w:t>
      </w:r>
      <w:r w:rsidRPr="00123C8B">
        <w:rPr>
          <w:rFonts w:asciiTheme="minorHAnsi" w:hAnsiTheme="minorHAnsi"/>
        </w:rPr>
        <w:t xml:space="preserve"> W</w:t>
      </w:r>
      <w:r w:rsidR="006C37DB">
        <w:rPr>
          <w:rFonts w:asciiTheme="minorHAnsi" w:hAnsiTheme="minorHAnsi"/>
        </w:rPr>
        <w:t>ash</w:t>
      </w:r>
      <w:r w:rsidRPr="00123C8B">
        <w:rPr>
          <w:rFonts w:asciiTheme="minorHAnsi" w:hAnsiTheme="minorHAnsi"/>
        </w:rPr>
        <w:t>U to another institution/entity based upon an NIH prime grant, cooperative agreement or contr</w:t>
      </w:r>
      <w:r w:rsidR="00B10FD1" w:rsidRPr="00123C8B">
        <w:rPr>
          <w:rFonts w:asciiTheme="minorHAnsi" w:hAnsiTheme="minorHAnsi"/>
        </w:rPr>
        <w:t>a</w:t>
      </w:r>
      <w:r w:rsidRPr="00123C8B">
        <w:rPr>
          <w:rFonts w:asciiTheme="minorHAnsi" w:hAnsiTheme="minorHAnsi"/>
        </w:rPr>
        <w:t>ct (i.e., outgoing subawards) continue to be subject to the salary cap guidelines.  The application of the Level II cap rates is based upon the initial NOA date of W</w:t>
      </w:r>
      <w:r w:rsidR="006C37DB">
        <w:rPr>
          <w:rFonts w:asciiTheme="minorHAnsi" w:hAnsiTheme="minorHAnsi"/>
        </w:rPr>
        <w:t>ash</w:t>
      </w:r>
      <w:r w:rsidRPr="00123C8B">
        <w:rPr>
          <w:rFonts w:asciiTheme="minorHAnsi" w:hAnsiTheme="minorHAnsi"/>
        </w:rPr>
        <w:t>U’s Prime award.</w:t>
      </w:r>
    </w:p>
    <w:p w:rsidR="00424BC3" w:rsidRDefault="00424BC3" w:rsidP="00712409">
      <w:pPr>
        <w:tabs>
          <w:tab w:val="left" w:pos="0"/>
        </w:tabs>
        <w:suppressAutoHyphens/>
        <w:rPr>
          <w:rFonts w:asciiTheme="minorHAnsi" w:hAnsiTheme="minorHAnsi"/>
          <w:u w:val="single"/>
        </w:rPr>
      </w:pPr>
    </w:p>
    <w:p w:rsidR="000954B2" w:rsidRDefault="000954B2" w:rsidP="00712409">
      <w:pPr>
        <w:tabs>
          <w:tab w:val="left" w:pos="0"/>
        </w:tabs>
        <w:suppressAutoHyphens/>
        <w:rPr>
          <w:rFonts w:asciiTheme="minorHAnsi" w:hAnsiTheme="minorHAnsi"/>
          <w:u w:val="single"/>
        </w:rPr>
      </w:pPr>
    </w:p>
    <w:p w:rsidR="007A0138" w:rsidRDefault="007A0138" w:rsidP="00712409">
      <w:pPr>
        <w:tabs>
          <w:tab w:val="left" w:pos="0"/>
        </w:tabs>
        <w:suppressAutoHyphens/>
        <w:rPr>
          <w:rFonts w:asciiTheme="minorHAnsi" w:hAnsiTheme="minorHAnsi"/>
          <w:u w:val="single"/>
        </w:rPr>
      </w:pPr>
    </w:p>
    <w:p w:rsidR="00712409" w:rsidRPr="00712409" w:rsidRDefault="00712409" w:rsidP="00712409">
      <w:pPr>
        <w:tabs>
          <w:tab w:val="left" w:pos="0"/>
        </w:tabs>
        <w:suppressAutoHyphens/>
        <w:rPr>
          <w:rFonts w:asciiTheme="minorHAnsi" w:hAnsiTheme="minorHAnsi"/>
        </w:rPr>
      </w:pPr>
      <w:r w:rsidRPr="00712409">
        <w:rPr>
          <w:rFonts w:asciiTheme="minorHAnsi" w:hAnsiTheme="minorHAnsi"/>
          <w:u w:val="single"/>
        </w:rPr>
        <w:t>Annual (ann.) vs. Academic Appointments:</w:t>
      </w:r>
    </w:p>
    <w:p w:rsidR="00712409" w:rsidRDefault="00712409" w:rsidP="00712409">
      <w:pPr>
        <w:tabs>
          <w:tab w:val="left" w:pos="0"/>
        </w:tabs>
        <w:suppressAutoHyphens/>
        <w:rPr>
          <w:rFonts w:asciiTheme="minorHAnsi" w:hAnsiTheme="minorHAnsi"/>
        </w:rPr>
      </w:pPr>
      <w:r w:rsidRPr="00712409">
        <w:rPr>
          <w:rFonts w:asciiTheme="minorHAnsi" w:hAnsiTheme="minorHAnsi"/>
        </w:rPr>
        <w:t>The NIH guidelines state that the amount charged to a grant cannot exceed a stipulated annual rate of pay.  Since some faculty have academic year (nine month) appointments, the applicable salary cap for those individuals calculates to 75% of the annual salary cap rate.  Accordingly, faculty members with annual (twelve month) appointments that are paid in excess of the applicable NIH rate and faculty members with academic appointment that are paid in excess 75% of the NIH annual rate per year must follow the procedures noted above if they are contributing effort and charging salary to an NIH project.</w:t>
      </w:r>
    </w:p>
    <w:p w:rsidR="00320DB3" w:rsidRDefault="00320DB3" w:rsidP="00712409">
      <w:pPr>
        <w:tabs>
          <w:tab w:val="left" w:pos="0"/>
        </w:tabs>
        <w:suppressAutoHyphens/>
        <w:rPr>
          <w:rFonts w:asciiTheme="minorHAnsi" w:hAnsiTheme="minorHAnsi"/>
        </w:rPr>
      </w:pPr>
    </w:p>
    <w:p w:rsidR="00320DB3" w:rsidRPr="00320DB3" w:rsidRDefault="00320DB3" w:rsidP="00320DB3">
      <w:pPr>
        <w:tabs>
          <w:tab w:val="left" w:pos="0"/>
        </w:tabs>
        <w:suppressAutoHyphens/>
        <w:rPr>
          <w:rFonts w:asciiTheme="minorHAnsi" w:hAnsiTheme="minorHAnsi"/>
          <w:color w:val="0000FF"/>
        </w:rPr>
      </w:pPr>
      <w:r w:rsidRPr="00320DB3">
        <w:rPr>
          <w:rFonts w:asciiTheme="minorHAnsi" w:hAnsiTheme="minorHAnsi"/>
          <w:color w:val="0000FF"/>
        </w:rPr>
        <w:t>Faculty with Veterans Administration (VA) Appointments:</w:t>
      </w:r>
    </w:p>
    <w:p w:rsidR="00320DB3" w:rsidRPr="00320DB3" w:rsidRDefault="00320DB3" w:rsidP="00320DB3">
      <w:pPr>
        <w:tabs>
          <w:tab w:val="left" w:pos="0"/>
        </w:tabs>
        <w:suppressAutoHyphens/>
        <w:rPr>
          <w:rFonts w:asciiTheme="minorHAnsi" w:hAnsiTheme="minorHAnsi"/>
          <w:color w:val="0000FF"/>
        </w:rPr>
      </w:pPr>
      <w:r w:rsidRPr="00320DB3">
        <w:rPr>
          <w:rFonts w:asciiTheme="minorHAnsi" w:hAnsiTheme="minorHAnsi"/>
          <w:color w:val="0000FF"/>
        </w:rPr>
        <w:t>Some faculty at the School of Medicine maintain both a WashU and VA appointment.  Workday will apply the corresponding WashU FTE figure to determine the applicable NIH salary cap rate of pay ($</w:t>
      </w:r>
      <w:r w:rsidR="000954B2">
        <w:rPr>
          <w:rFonts w:asciiTheme="minorHAnsi" w:hAnsiTheme="minorHAnsi"/>
          <w:color w:val="0000FF"/>
        </w:rPr>
        <w:t>203</w:t>
      </w:r>
      <w:r w:rsidRPr="00320DB3">
        <w:rPr>
          <w:rFonts w:asciiTheme="minorHAnsi" w:hAnsiTheme="minorHAnsi"/>
          <w:color w:val="0000FF"/>
        </w:rPr>
        <w:t>,</w:t>
      </w:r>
      <w:r w:rsidR="000954B2">
        <w:rPr>
          <w:rFonts w:asciiTheme="minorHAnsi" w:hAnsiTheme="minorHAnsi"/>
          <w:color w:val="0000FF"/>
        </w:rPr>
        <w:t>7</w:t>
      </w:r>
      <w:r w:rsidRPr="00320DB3">
        <w:rPr>
          <w:rFonts w:asciiTheme="minorHAnsi" w:hAnsiTheme="minorHAnsi"/>
          <w:color w:val="0000FF"/>
        </w:rPr>
        <w:t>00 * X.XX FTE).</w:t>
      </w:r>
    </w:p>
    <w:p w:rsidR="00712409" w:rsidRPr="00712409" w:rsidRDefault="00712409" w:rsidP="00712409">
      <w:pPr>
        <w:tabs>
          <w:tab w:val="left" w:pos="0"/>
        </w:tabs>
        <w:suppressAutoHyphens/>
        <w:rPr>
          <w:rFonts w:asciiTheme="minorHAnsi" w:hAnsiTheme="minorHAnsi"/>
          <w:u w:val="single"/>
        </w:rPr>
      </w:pPr>
    </w:p>
    <w:p w:rsidR="00712409" w:rsidRPr="00712409" w:rsidRDefault="00712409" w:rsidP="00712409">
      <w:pPr>
        <w:tabs>
          <w:tab w:val="left" w:pos="0"/>
        </w:tabs>
        <w:suppressAutoHyphens/>
        <w:rPr>
          <w:rFonts w:asciiTheme="minorHAnsi" w:hAnsiTheme="minorHAnsi"/>
        </w:rPr>
      </w:pPr>
      <w:r w:rsidRPr="00712409">
        <w:rPr>
          <w:rFonts w:asciiTheme="minorHAnsi" w:hAnsiTheme="minorHAnsi"/>
          <w:u w:val="single"/>
        </w:rPr>
        <w:t>Summer Salary:</w:t>
      </w:r>
    </w:p>
    <w:p w:rsidR="00712409" w:rsidRPr="00712409" w:rsidRDefault="00712409" w:rsidP="00712409">
      <w:pPr>
        <w:tabs>
          <w:tab w:val="left" w:pos="0"/>
        </w:tabs>
        <w:suppressAutoHyphens/>
        <w:rPr>
          <w:rFonts w:asciiTheme="minorHAnsi" w:hAnsiTheme="minorHAnsi"/>
        </w:rPr>
      </w:pPr>
      <w:r w:rsidRPr="00712409">
        <w:rPr>
          <w:rFonts w:asciiTheme="minorHAnsi" w:hAnsiTheme="minorHAnsi"/>
        </w:rPr>
        <w:t xml:space="preserve">The summer salary charged to NIH projects by faculty with academic appointments must also follow the above noted policy and procedures.  </w:t>
      </w:r>
    </w:p>
    <w:p w:rsidR="00712409" w:rsidRPr="00712409" w:rsidRDefault="00712409" w:rsidP="00712409">
      <w:pPr>
        <w:tabs>
          <w:tab w:val="left" w:pos="0"/>
        </w:tabs>
        <w:suppressAutoHyphens/>
        <w:rPr>
          <w:rFonts w:asciiTheme="minorHAnsi" w:hAnsiTheme="minorHAnsi"/>
        </w:rPr>
      </w:pPr>
    </w:p>
    <w:p w:rsidR="000B17B3" w:rsidRPr="00B34729" w:rsidRDefault="000B17B3" w:rsidP="000B17B3">
      <w:pPr>
        <w:tabs>
          <w:tab w:val="left" w:pos="0"/>
        </w:tabs>
        <w:suppressAutoHyphens/>
        <w:rPr>
          <w:rFonts w:asciiTheme="minorHAnsi" w:hAnsiTheme="minorHAnsi"/>
          <w:u w:val="single"/>
        </w:rPr>
      </w:pPr>
      <w:r w:rsidRPr="00B34729">
        <w:rPr>
          <w:rFonts w:asciiTheme="minorHAnsi" w:hAnsiTheme="minorHAnsi"/>
          <w:u w:val="single"/>
        </w:rPr>
        <w:t>Rebudgeting:</w:t>
      </w:r>
    </w:p>
    <w:p w:rsidR="00B34729" w:rsidRPr="00B34729" w:rsidRDefault="00B34729" w:rsidP="00B34729">
      <w:pPr>
        <w:tabs>
          <w:tab w:val="left" w:pos="0"/>
        </w:tabs>
        <w:suppressAutoHyphens/>
        <w:rPr>
          <w:rFonts w:asciiTheme="minorHAnsi" w:hAnsiTheme="minorHAnsi"/>
        </w:rPr>
      </w:pPr>
      <w:r w:rsidRPr="00B34729">
        <w:rPr>
          <w:rFonts w:asciiTheme="minorHAnsi" w:hAnsiTheme="minorHAnsi"/>
        </w:rPr>
        <w:t xml:space="preserve">The NIH will not provide additional funding for awards issued under the previous salary cap rate(s), however, they have stated that a PI can rebudget funds to allow for the increase in rates.  Accordingly, the amount of salary charged to the project can be increased to the new rate, if there are sufficient remaining funds in the project to cover the additional salary and fringe benefit costs.  </w:t>
      </w:r>
    </w:p>
    <w:p w:rsidR="00314815" w:rsidRPr="00840FA2" w:rsidRDefault="00314815" w:rsidP="00E8337D">
      <w:pPr>
        <w:tabs>
          <w:tab w:val="left" w:pos="0"/>
        </w:tabs>
        <w:suppressAutoHyphens/>
        <w:rPr>
          <w:rFonts w:asciiTheme="minorHAnsi" w:hAnsiTheme="minorHAnsi"/>
          <w:color w:val="0000FF"/>
        </w:rPr>
      </w:pPr>
    </w:p>
    <w:p w:rsidR="00DF162C" w:rsidRPr="0041327B" w:rsidRDefault="00DF162C" w:rsidP="00E8337D">
      <w:pPr>
        <w:tabs>
          <w:tab w:val="left" w:pos="0"/>
        </w:tabs>
        <w:suppressAutoHyphens/>
        <w:rPr>
          <w:rFonts w:asciiTheme="minorHAnsi" w:hAnsiTheme="minorHAnsi"/>
          <w:u w:val="single"/>
        </w:rPr>
      </w:pPr>
      <w:r w:rsidRPr="0041327B">
        <w:rPr>
          <w:rFonts w:asciiTheme="minorHAnsi" w:hAnsiTheme="minorHAnsi"/>
          <w:u w:val="single"/>
        </w:rPr>
        <w:t>Frequently Ask Questions:</w:t>
      </w:r>
    </w:p>
    <w:p w:rsidR="0041327B" w:rsidRDefault="000350B8" w:rsidP="00FB3F34">
      <w:pPr>
        <w:tabs>
          <w:tab w:val="left" w:pos="0"/>
        </w:tabs>
        <w:suppressAutoHyphens/>
        <w:rPr>
          <w:rFonts w:asciiTheme="minorHAnsi" w:hAnsiTheme="minorHAnsi"/>
        </w:rPr>
      </w:pPr>
      <w:r w:rsidRPr="0041327B">
        <w:rPr>
          <w:rFonts w:asciiTheme="minorHAnsi" w:hAnsiTheme="minorHAnsi"/>
        </w:rPr>
        <w:t xml:space="preserve">The </w:t>
      </w:r>
      <w:r w:rsidR="008D6B2B">
        <w:rPr>
          <w:rFonts w:asciiTheme="minorHAnsi" w:hAnsiTheme="minorHAnsi"/>
        </w:rPr>
        <w:t xml:space="preserve">most current version of NIH’s </w:t>
      </w:r>
      <w:r w:rsidRPr="0041327B">
        <w:rPr>
          <w:rFonts w:asciiTheme="minorHAnsi" w:hAnsiTheme="minorHAnsi"/>
        </w:rPr>
        <w:t>Frequently Asked Questions (FAQs)</w:t>
      </w:r>
      <w:r w:rsidR="00A96D71">
        <w:rPr>
          <w:rFonts w:asciiTheme="minorHAnsi" w:hAnsiTheme="minorHAnsi"/>
        </w:rPr>
        <w:t xml:space="preserve"> are provided in the 2016 Notice, see </w:t>
      </w:r>
      <w:r w:rsidR="00B541E2">
        <w:rPr>
          <w:rFonts w:asciiTheme="minorHAnsi" w:hAnsiTheme="minorHAnsi"/>
        </w:rPr>
        <w:t xml:space="preserve"> </w:t>
      </w:r>
      <w:hyperlink r:id="rId17" w:history="1">
        <w:r w:rsidR="00B541E2" w:rsidRPr="00EC5C7B">
          <w:rPr>
            <w:rStyle w:val="Hyperlink"/>
            <w:rFonts w:asciiTheme="minorHAnsi" w:hAnsiTheme="minorHAnsi"/>
          </w:rPr>
          <w:t>https://grants.nih.gov/grants/guide/notice-files/NOT-OD-16-045.html</w:t>
        </w:r>
      </w:hyperlink>
      <w:r w:rsidR="00B541E2">
        <w:rPr>
          <w:rFonts w:asciiTheme="minorHAnsi" w:hAnsiTheme="minorHAnsi"/>
        </w:rPr>
        <w:t xml:space="preserve">. </w:t>
      </w:r>
    </w:p>
    <w:p w:rsidR="00B541E2" w:rsidRDefault="00B541E2" w:rsidP="00FB3F34">
      <w:pPr>
        <w:tabs>
          <w:tab w:val="left" w:pos="0"/>
        </w:tabs>
        <w:suppressAutoHyphens/>
        <w:rPr>
          <w:rFonts w:asciiTheme="minorHAnsi" w:hAnsiTheme="minorHAnsi"/>
          <w:color w:val="0000FF"/>
        </w:rPr>
      </w:pPr>
    </w:p>
    <w:p w:rsidR="00B5574D" w:rsidRDefault="00B5574D" w:rsidP="00FB3F34">
      <w:pPr>
        <w:tabs>
          <w:tab w:val="left" w:pos="0"/>
        </w:tabs>
        <w:suppressAutoHyphens/>
        <w:rPr>
          <w:rFonts w:asciiTheme="minorHAnsi" w:hAnsiTheme="minorHAnsi"/>
          <w:color w:val="0000FF"/>
        </w:rPr>
      </w:pPr>
    </w:p>
    <w:p w:rsidR="00A94112" w:rsidRPr="006E2C53" w:rsidRDefault="000B17B3" w:rsidP="00712409">
      <w:pPr>
        <w:tabs>
          <w:tab w:val="left" w:pos="0"/>
        </w:tabs>
        <w:suppressAutoHyphens/>
        <w:rPr>
          <w:rFonts w:asciiTheme="minorHAnsi" w:hAnsiTheme="minorHAnsi"/>
          <w:b/>
          <w:u w:val="single"/>
        </w:rPr>
      </w:pPr>
      <w:r w:rsidRPr="00712409">
        <w:rPr>
          <w:rFonts w:asciiTheme="minorHAnsi" w:hAnsiTheme="minorHAnsi"/>
        </w:rPr>
        <w:t xml:space="preserve"> </w:t>
      </w:r>
    </w:p>
    <w:p w:rsidR="00712409" w:rsidRPr="00712409" w:rsidRDefault="00712409" w:rsidP="00712409">
      <w:pPr>
        <w:tabs>
          <w:tab w:val="left" w:pos="0"/>
        </w:tabs>
        <w:suppressAutoHyphens/>
        <w:rPr>
          <w:rFonts w:asciiTheme="minorHAnsi" w:hAnsiTheme="minorHAnsi"/>
          <w:b/>
          <w:sz w:val="24"/>
          <w:szCs w:val="24"/>
          <w:u w:val="single"/>
        </w:rPr>
      </w:pPr>
      <w:r w:rsidRPr="00712409">
        <w:rPr>
          <w:rFonts w:asciiTheme="minorHAnsi" w:hAnsiTheme="minorHAnsi"/>
          <w:b/>
          <w:sz w:val="24"/>
          <w:szCs w:val="24"/>
          <w:u w:val="single"/>
        </w:rPr>
        <w:t>Procedures:</w:t>
      </w:r>
    </w:p>
    <w:p w:rsidR="00712409" w:rsidRPr="00707423" w:rsidRDefault="008E307A" w:rsidP="00712409">
      <w:pPr>
        <w:tabs>
          <w:tab w:val="left" w:pos="0"/>
        </w:tabs>
        <w:suppressAutoHyphens/>
        <w:rPr>
          <w:rFonts w:asciiTheme="minorHAnsi" w:hAnsiTheme="minorHAnsi"/>
          <w:color w:val="0000FF"/>
          <w:u w:val="single"/>
        </w:rPr>
      </w:pPr>
      <w:r w:rsidRPr="00707423">
        <w:rPr>
          <w:rFonts w:asciiTheme="minorHAnsi" w:hAnsiTheme="minorHAnsi"/>
          <w:color w:val="0000FF"/>
          <w:u w:val="single"/>
        </w:rPr>
        <w:t>Workday Payroll Costing Allocations</w:t>
      </w:r>
    </w:p>
    <w:p w:rsidR="00712409" w:rsidRDefault="008E307A" w:rsidP="00C90C51">
      <w:pPr>
        <w:numPr>
          <w:ilvl w:val="0"/>
          <w:numId w:val="1"/>
        </w:numPr>
        <w:tabs>
          <w:tab w:val="left" w:pos="0"/>
        </w:tabs>
        <w:suppressAutoHyphens/>
        <w:ind w:left="360"/>
        <w:rPr>
          <w:rFonts w:asciiTheme="minorHAnsi" w:hAnsiTheme="minorHAnsi"/>
          <w:color w:val="0000FF"/>
        </w:rPr>
      </w:pPr>
      <w:r w:rsidRPr="00707423">
        <w:rPr>
          <w:rFonts w:asciiTheme="minorHAnsi" w:hAnsiTheme="minorHAnsi"/>
          <w:color w:val="0000FF"/>
        </w:rPr>
        <w:t xml:space="preserve">Workday (WD) retains and recognizes the NIH salary cap rate based upon it’s effective date (e.g., 01/02/22).  When an employee is Payroll Costing Allocated (PCA) to grant worktag in which the prime source of funding is the NIH/DHHS, WD will compare the individual’s actual salary rate and FTE to the applicable cap rate, based upon the effective date of </w:t>
      </w:r>
      <w:r w:rsidR="00AA52F9">
        <w:rPr>
          <w:rFonts w:asciiTheme="minorHAnsi" w:hAnsiTheme="minorHAnsi"/>
          <w:color w:val="0000FF"/>
        </w:rPr>
        <w:t xml:space="preserve">the </w:t>
      </w:r>
      <w:r w:rsidRPr="00707423">
        <w:rPr>
          <w:rFonts w:asciiTheme="minorHAnsi" w:hAnsiTheme="minorHAnsi"/>
          <w:color w:val="0000FF"/>
        </w:rPr>
        <w:t>rate.</w:t>
      </w:r>
      <w:r w:rsidR="003B6ABB">
        <w:rPr>
          <w:rFonts w:asciiTheme="minorHAnsi" w:hAnsiTheme="minorHAnsi"/>
          <w:color w:val="0000FF"/>
        </w:rPr>
        <w:t xml:space="preserve">  Please refer to the Payroll Costing Allocation tutorial for additional information, see </w:t>
      </w:r>
      <w:hyperlink r:id="rId18" w:history="1">
        <w:r w:rsidR="003B6ABB" w:rsidRPr="00120851">
          <w:rPr>
            <w:rStyle w:val="Hyperlink"/>
            <w:rFonts w:asciiTheme="minorHAnsi" w:hAnsiTheme="minorHAnsi"/>
          </w:rPr>
          <w:t>https://workday.wustl.edu/items/assign-costing-allocation/</w:t>
        </w:r>
      </w:hyperlink>
      <w:r w:rsidR="003B6ABB">
        <w:rPr>
          <w:rFonts w:asciiTheme="minorHAnsi" w:hAnsiTheme="minorHAnsi"/>
          <w:color w:val="0000FF"/>
        </w:rPr>
        <w:t>.</w:t>
      </w:r>
    </w:p>
    <w:p w:rsidR="003B6ABB" w:rsidRPr="00707423" w:rsidRDefault="003B6ABB" w:rsidP="00C90C51">
      <w:pPr>
        <w:tabs>
          <w:tab w:val="left" w:pos="0"/>
        </w:tabs>
        <w:suppressAutoHyphens/>
        <w:ind w:left="720"/>
        <w:rPr>
          <w:rFonts w:asciiTheme="minorHAnsi" w:hAnsiTheme="minorHAnsi"/>
          <w:color w:val="0000FF"/>
        </w:rPr>
      </w:pPr>
    </w:p>
    <w:p w:rsidR="00201074" w:rsidRDefault="00201074" w:rsidP="00201074">
      <w:pPr>
        <w:tabs>
          <w:tab w:val="left" w:pos="0"/>
        </w:tabs>
        <w:suppressAutoHyphens/>
        <w:rPr>
          <w:rFonts w:asciiTheme="minorHAnsi" w:hAnsiTheme="minorHAnsi"/>
        </w:rPr>
      </w:pPr>
    </w:p>
    <w:p w:rsidR="00791BA0" w:rsidRPr="002C72EA" w:rsidRDefault="00707423" w:rsidP="00791BA0">
      <w:pPr>
        <w:pStyle w:val="BodyText2"/>
        <w:tabs>
          <w:tab w:val="left" w:pos="360"/>
        </w:tabs>
        <w:rPr>
          <w:rFonts w:asciiTheme="minorHAnsi" w:hAnsiTheme="minorHAnsi"/>
          <w:b w:val="0"/>
          <w:color w:val="0000FF"/>
          <w:u w:val="single"/>
        </w:rPr>
      </w:pPr>
      <w:r w:rsidRPr="002C72EA">
        <w:rPr>
          <w:rFonts w:asciiTheme="minorHAnsi" w:hAnsiTheme="minorHAnsi"/>
          <w:b w:val="0"/>
          <w:color w:val="0000FF"/>
          <w:u w:val="single"/>
        </w:rPr>
        <w:t xml:space="preserve">Workday </w:t>
      </w:r>
      <w:r w:rsidR="00791BA0" w:rsidRPr="002C72EA">
        <w:rPr>
          <w:rFonts w:asciiTheme="minorHAnsi" w:hAnsiTheme="minorHAnsi"/>
          <w:b w:val="0"/>
          <w:color w:val="0000FF"/>
          <w:u w:val="single"/>
        </w:rPr>
        <w:t xml:space="preserve">Payroll </w:t>
      </w:r>
      <w:r w:rsidRPr="002C72EA">
        <w:rPr>
          <w:rFonts w:asciiTheme="minorHAnsi" w:hAnsiTheme="minorHAnsi"/>
          <w:b w:val="0"/>
          <w:color w:val="0000FF"/>
          <w:u w:val="single"/>
        </w:rPr>
        <w:t>Accounting Adjustments</w:t>
      </w:r>
      <w:r w:rsidR="00791BA0" w:rsidRPr="002C72EA">
        <w:rPr>
          <w:rFonts w:asciiTheme="minorHAnsi" w:hAnsiTheme="minorHAnsi"/>
          <w:b w:val="0"/>
          <w:color w:val="0000FF"/>
          <w:u w:val="single"/>
        </w:rPr>
        <w:t>:</w:t>
      </w:r>
    </w:p>
    <w:p w:rsidR="00791BA0" w:rsidRDefault="00791BA0" w:rsidP="00791BA0">
      <w:pPr>
        <w:pStyle w:val="BodyText2"/>
        <w:tabs>
          <w:tab w:val="left" w:pos="360"/>
        </w:tabs>
        <w:ind w:left="360" w:hanging="360"/>
        <w:rPr>
          <w:rFonts w:asciiTheme="minorHAnsi" w:hAnsiTheme="minorHAnsi"/>
          <w:b w:val="0"/>
        </w:rPr>
      </w:pPr>
      <w:r w:rsidRPr="00791BA0">
        <w:rPr>
          <w:rFonts w:asciiTheme="minorHAnsi" w:hAnsiTheme="minorHAnsi"/>
          <w:b w:val="0"/>
        </w:rPr>
        <w:sym w:font="Symbol" w:char="F0B7"/>
      </w:r>
      <w:r w:rsidRPr="00791BA0">
        <w:rPr>
          <w:rFonts w:asciiTheme="minorHAnsi" w:hAnsiTheme="minorHAnsi"/>
          <w:b w:val="0"/>
        </w:rPr>
        <w:tab/>
        <w:t xml:space="preserve">The new NIH salary cap rates were published in </w:t>
      </w:r>
      <w:r w:rsidR="00707423">
        <w:rPr>
          <w:rFonts w:asciiTheme="minorHAnsi" w:hAnsiTheme="minorHAnsi"/>
          <w:color w:val="0000FF"/>
        </w:rPr>
        <w:t>February</w:t>
      </w:r>
      <w:r w:rsidRPr="00015D4F">
        <w:rPr>
          <w:rFonts w:asciiTheme="minorHAnsi" w:hAnsiTheme="minorHAnsi"/>
          <w:color w:val="0000FF"/>
        </w:rPr>
        <w:t xml:space="preserve"> 20</w:t>
      </w:r>
      <w:r w:rsidR="008E4D9A">
        <w:rPr>
          <w:rFonts w:asciiTheme="minorHAnsi" w:hAnsiTheme="minorHAnsi"/>
          <w:color w:val="0000FF"/>
        </w:rPr>
        <w:t>2</w:t>
      </w:r>
      <w:r w:rsidR="00707423">
        <w:rPr>
          <w:rFonts w:asciiTheme="minorHAnsi" w:hAnsiTheme="minorHAnsi"/>
          <w:color w:val="0000FF"/>
        </w:rPr>
        <w:t>2</w:t>
      </w:r>
      <w:r>
        <w:rPr>
          <w:rFonts w:asciiTheme="minorHAnsi" w:hAnsiTheme="minorHAnsi"/>
          <w:b w:val="0"/>
        </w:rPr>
        <w:t xml:space="preserve">.  For the period </w:t>
      </w:r>
      <w:r w:rsidRPr="00FD130A">
        <w:rPr>
          <w:rFonts w:asciiTheme="minorHAnsi" w:hAnsiTheme="minorHAnsi"/>
          <w:color w:val="0000FF"/>
        </w:rPr>
        <w:t>01/</w:t>
      </w:r>
      <w:r w:rsidR="00297314">
        <w:rPr>
          <w:rFonts w:asciiTheme="minorHAnsi" w:hAnsiTheme="minorHAnsi"/>
          <w:color w:val="0000FF"/>
        </w:rPr>
        <w:t>0</w:t>
      </w:r>
      <w:r w:rsidR="00707423">
        <w:rPr>
          <w:rFonts w:asciiTheme="minorHAnsi" w:hAnsiTheme="minorHAnsi"/>
          <w:color w:val="0000FF"/>
        </w:rPr>
        <w:t>2</w:t>
      </w:r>
      <w:r w:rsidRPr="00FD130A">
        <w:rPr>
          <w:rFonts w:asciiTheme="minorHAnsi" w:hAnsiTheme="minorHAnsi"/>
          <w:color w:val="0000FF"/>
        </w:rPr>
        <w:t>/20</w:t>
      </w:r>
      <w:r w:rsidR="008E4D9A">
        <w:rPr>
          <w:rFonts w:asciiTheme="minorHAnsi" w:hAnsiTheme="minorHAnsi"/>
          <w:color w:val="0000FF"/>
        </w:rPr>
        <w:t>2</w:t>
      </w:r>
      <w:r w:rsidR="00707423">
        <w:rPr>
          <w:rFonts w:asciiTheme="minorHAnsi" w:hAnsiTheme="minorHAnsi"/>
          <w:color w:val="0000FF"/>
        </w:rPr>
        <w:t>2</w:t>
      </w:r>
      <w:r w:rsidRPr="00FD130A">
        <w:rPr>
          <w:rFonts w:asciiTheme="minorHAnsi" w:hAnsiTheme="minorHAnsi"/>
          <w:color w:val="0000FF"/>
        </w:rPr>
        <w:t xml:space="preserve"> through </w:t>
      </w:r>
      <w:r w:rsidR="00297314">
        <w:rPr>
          <w:rFonts w:asciiTheme="minorHAnsi" w:hAnsiTheme="minorHAnsi"/>
          <w:color w:val="0000FF"/>
        </w:rPr>
        <w:t>02/</w:t>
      </w:r>
      <w:r w:rsidR="00707423">
        <w:rPr>
          <w:rFonts w:asciiTheme="minorHAnsi" w:hAnsiTheme="minorHAnsi"/>
          <w:color w:val="0000FF"/>
        </w:rPr>
        <w:t>10</w:t>
      </w:r>
      <w:r w:rsidRPr="00257C6B">
        <w:rPr>
          <w:rFonts w:asciiTheme="minorHAnsi" w:hAnsiTheme="minorHAnsi"/>
          <w:color w:val="0000FF"/>
        </w:rPr>
        <w:t>/20</w:t>
      </w:r>
      <w:r w:rsidR="008E4D9A">
        <w:rPr>
          <w:rFonts w:asciiTheme="minorHAnsi" w:hAnsiTheme="minorHAnsi"/>
          <w:color w:val="0000FF"/>
        </w:rPr>
        <w:t>2</w:t>
      </w:r>
      <w:r w:rsidR="00707423">
        <w:rPr>
          <w:rFonts w:asciiTheme="minorHAnsi" w:hAnsiTheme="minorHAnsi"/>
          <w:color w:val="0000FF"/>
        </w:rPr>
        <w:t>2</w:t>
      </w:r>
      <w:r w:rsidRPr="00791BA0">
        <w:rPr>
          <w:rFonts w:asciiTheme="minorHAnsi" w:hAnsiTheme="minorHAnsi"/>
          <w:b w:val="0"/>
        </w:rPr>
        <w:t xml:space="preserve">, </w:t>
      </w:r>
      <w:r w:rsidR="00707423" w:rsidRPr="002C72EA">
        <w:rPr>
          <w:rFonts w:asciiTheme="minorHAnsi" w:hAnsiTheme="minorHAnsi"/>
          <w:b w:val="0"/>
          <w:color w:val="0000FF"/>
        </w:rPr>
        <w:t>Payroll Accounting Adjustment</w:t>
      </w:r>
      <w:r w:rsidR="00C83876">
        <w:rPr>
          <w:rFonts w:asciiTheme="minorHAnsi" w:hAnsiTheme="minorHAnsi"/>
          <w:b w:val="0"/>
          <w:color w:val="0000FF"/>
        </w:rPr>
        <w:t>s</w:t>
      </w:r>
      <w:r w:rsidRPr="002C72EA">
        <w:rPr>
          <w:rFonts w:asciiTheme="minorHAnsi" w:hAnsiTheme="minorHAnsi"/>
          <w:b w:val="0"/>
          <w:color w:val="0000FF"/>
        </w:rPr>
        <w:t xml:space="preserve"> </w:t>
      </w:r>
      <w:r w:rsidR="002C72EA" w:rsidRPr="002C72EA">
        <w:rPr>
          <w:rFonts w:asciiTheme="minorHAnsi" w:hAnsiTheme="minorHAnsi"/>
          <w:b w:val="0"/>
          <w:color w:val="0000FF"/>
        </w:rPr>
        <w:t xml:space="preserve">are not required to use the new rate ($203,700), but can if that’s </w:t>
      </w:r>
      <w:r w:rsidR="002C72EA" w:rsidRPr="001F4319">
        <w:rPr>
          <w:rFonts w:asciiTheme="minorHAnsi" w:hAnsiTheme="minorHAnsi"/>
          <w:b w:val="0"/>
          <w:color w:val="0000FF"/>
        </w:rPr>
        <w:t>preferred</w:t>
      </w:r>
      <w:r w:rsidR="001F4319" w:rsidRPr="001F4319">
        <w:rPr>
          <w:rFonts w:asciiTheme="minorHAnsi" w:hAnsiTheme="minorHAnsi"/>
          <w:b w:val="0"/>
          <w:color w:val="0000FF"/>
        </w:rPr>
        <w:t xml:space="preserve">.  </w:t>
      </w:r>
      <w:r w:rsidR="002C72EA" w:rsidRPr="001F4319">
        <w:rPr>
          <w:rFonts w:asciiTheme="minorHAnsi" w:hAnsiTheme="minorHAnsi"/>
          <w:b w:val="0"/>
          <w:color w:val="0000FF"/>
        </w:rPr>
        <w:t xml:space="preserve"> </w:t>
      </w:r>
      <w:r w:rsidRPr="001F4319">
        <w:rPr>
          <w:rFonts w:asciiTheme="minorHAnsi" w:hAnsiTheme="minorHAnsi"/>
          <w:b w:val="0"/>
          <w:color w:val="0000FF"/>
        </w:rPr>
        <w:t>It</w:t>
      </w:r>
      <w:r w:rsidRPr="002C72EA">
        <w:rPr>
          <w:rFonts w:asciiTheme="minorHAnsi" w:hAnsiTheme="minorHAnsi"/>
          <w:b w:val="0"/>
          <w:color w:val="0000FF"/>
        </w:rPr>
        <w:t xml:space="preserve"> </w:t>
      </w:r>
      <w:r w:rsidRPr="002C72EA">
        <w:rPr>
          <w:rFonts w:asciiTheme="minorHAnsi" w:hAnsiTheme="minorHAnsi"/>
          <w:i/>
          <w:color w:val="0000FF"/>
        </w:rPr>
        <w:t>i</w:t>
      </w:r>
      <w:r w:rsidRPr="00791BA0">
        <w:rPr>
          <w:rFonts w:asciiTheme="minorHAnsi" w:hAnsiTheme="minorHAnsi"/>
          <w:i/>
        </w:rPr>
        <w:t>s not</w:t>
      </w:r>
      <w:r w:rsidRPr="00791BA0">
        <w:rPr>
          <w:rFonts w:asciiTheme="minorHAnsi" w:hAnsiTheme="minorHAnsi"/>
          <w:b w:val="0"/>
        </w:rPr>
        <w:t xml:space="preserve"> a requirement to adjust salaries related to this specific period, however, the NIH does afford the Principal Investigator and/or the department this option.  </w:t>
      </w:r>
      <w:r w:rsidR="00ED41AA">
        <w:rPr>
          <w:rFonts w:asciiTheme="minorHAnsi" w:hAnsiTheme="minorHAnsi"/>
          <w:b w:val="0"/>
        </w:rPr>
        <w:t>Please refer to the PAA Reference Guide for additional information</w:t>
      </w:r>
      <w:r w:rsidR="003B6ABB">
        <w:rPr>
          <w:rFonts w:asciiTheme="minorHAnsi" w:hAnsiTheme="minorHAnsi"/>
          <w:b w:val="0"/>
        </w:rPr>
        <w:t xml:space="preserve"> (</w:t>
      </w:r>
      <w:hyperlink r:id="rId19" w:history="1">
        <w:r w:rsidR="00ED41AA" w:rsidRPr="00120851">
          <w:rPr>
            <w:rStyle w:val="Hyperlink"/>
            <w:rFonts w:asciiTheme="minorHAnsi" w:hAnsiTheme="minorHAnsi"/>
            <w:b w:val="0"/>
          </w:rPr>
          <w:t>https://workday.wustl.edu/items/payroll-accounting-adjustments-guide/</w:t>
        </w:r>
      </w:hyperlink>
      <w:r w:rsidR="003B6ABB">
        <w:rPr>
          <w:rFonts w:asciiTheme="minorHAnsi" w:hAnsiTheme="minorHAnsi"/>
          <w:b w:val="0"/>
        </w:rPr>
        <w:t>) and the Create Payroll Accounting Adjustment tutorial (</w:t>
      </w:r>
      <w:hyperlink r:id="rId20" w:history="1">
        <w:r w:rsidR="003B6ABB" w:rsidRPr="00120851">
          <w:rPr>
            <w:rStyle w:val="Hyperlink"/>
            <w:rFonts w:asciiTheme="minorHAnsi" w:hAnsiTheme="minorHAnsi"/>
            <w:b w:val="0"/>
          </w:rPr>
          <w:t>https://workday.wustl.edu/items/assign-costing-allocation/</w:t>
        </w:r>
      </w:hyperlink>
      <w:r w:rsidR="003B6ABB">
        <w:rPr>
          <w:rFonts w:asciiTheme="minorHAnsi" w:hAnsiTheme="minorHAnsi"/>
          <w:b w:val="0"/>
        </w:rPr>
        <w:t>).</w:t>
      </w:r>
    </w:p>
    <w:p w:rsidR="003B6ABB" w:rsidRDefault="003B6ABB" w:rsidP="00791BA0">
      <w:pPr>
        <w:pStyle w:val="BodyText2"/>
        <w:tabs>
          <w:tab w:val="left" w:pos="360"/>
        </w:tabs>
        <w:ind w:left="360" w:hanging="360"/>
        <w:rPr>
          <w:rFonts w:asciiTheme="minorHAnsi" w:hAnsiTheme="minorHAnsi"/>
          <w:b w:val="0"/>
        </w:rPr>
      </w:pPr>
    </w:p>
    <w:p w:rsidR="008E4D9A" w:rsidRDefault="008E4D9A" w:rsidP="00201074">
      <w:pPr>
        <w:tabs>
          <w:tab w:val="left" w:pos="0"/>
        </w:tabs>
        <w:suppressAutoHyphens/>
        <w:rPr>
          <w:rFonts w:asciiTheme="minorHAnsi" w:hAnsiTheme="minorHAnsi"/>
        </w:rPr>
      </w:pPr>
    </w:p>
    <w:p w:rsidR="001F4319" w:rsidRPr="00712409" w:rsidRDefault="001F4319" w:rsidP="00201074">
      <w:pPr>
        <w:tabs>
          <w:tab w:val="left" w:pos="0"/>
        </w:tabs>
        <w:suppressAutoHyphens/>
        <w:rPr>
          <w:rFonts w:asciiTheme="minorHAnsi" w:hAnsiTheme="minorHAnsi"/>
        </w:rPr>
      </w:pPr>
    </w:p>
    <w:p w:rsidR="007A0138" w:rsidRDefault="007A0138" w:rsidP="00712409">
      <w:pPr>
        <w:tabs>
          <w:tab w:val="left" w:pos="0"/>
        </w:tabs>
        <w:suppressAutoHyphens/>
        <w:rPr>
          <w:rFonts w:asciiTheme="minorHAnsi" w:hAnsiTheme="minorHAnsi"/>
          <w:u w:val="single"/>
        </w:rPr>
      </w:pPr>
    </w:p>
    <w:p w:rsidR="00712409" w:rsidRPr="00712409" w:rsidRDefault="00712409" w:rsidP="00712409">
      <w:pPr>
        <w:tabs>
          <w:tab w:val="left" w:pos="0"/>
        </w:tabs>
        <w:suppressAutoHyphens/>
        <w:rPr>
          <w:rFonts w:asciiTheme="minorHAnsi" w:hAnsiTheme="minorHAnsi"/>
          <w:u w:val="single"/>
        </w:rPr>
      </w:pPr>
      <w:bookmarkStart w:id="0" w:name="_GoBack"/>
      <w:r w:rsidRPr="00712409">
        <w:rPr>
          <w:rFonts w:asciiTheme="minorHAnsi" w:hAnsiTheme="minorHAnsi"/>
          <w:u w:val="single"/>
        </w:rPr>
        <w:lastRenderedPageBreak/>
        <w:t>Grant / Cost Share Calculation Methodology:</w:t>
      </w:r>
    </w:p>
    <w:bookmarkEnd w:id="0"/>
    <w:p w:rsidR="00D356C0" w:rsidRPr="00D356C0" w:rsidRDefault="00AB1810" w:rsidP="009159BB">
      <w:pPr>
        <w:pStyle w:val="NoSpacing"/>
        <w:rPr>
          <w:rFonts w:asciiTheme="minorHAnsi" w:hAnsiTheme="minorHAnsi" w:cstheme="minorHAnsi"/>
          <w:color w:val="0000FF"/>
        </w:rPr>
      </w:pPr>
      <w:r w:rsidRPr="00D356C0">
        <w:t xml:space="preserve"> WD </w:t>
      </w:r>
      <w:r w:rsidR="00AA52F9" w:rsidRPr="00D356C0">
        <w:t xml:space="preserve">will </w:t>
      </w:r>
      <w:r w:rsidRPr="00D356C0">
        <w:t xml:space="preserve">notify the user that the NIH salary cap may apply to the employee, however it will not automatically calculate </w:t>
      </w:r>
      <w:r w:rsidR="00712409" w:rsidRPr="00D356C0">
        <w:t>the applicable grant and cost share amounts</w:t>
      </w:r>
      <w:r w:rsidRPr="00D356C0">
        <w:t>.  Accordingly, the individual processing the PCA should utilize the Salary Cap Calculator worksheet (E</w:t>
      </w:r>
      <w:r w:rsidR="00CD49E5" w:rsidRPr="00D356C0">
        <w:t>xcel based) to determine the applicable amounts for the</w:t>
      </w:r>
      <w:r w:rsidR="00AA52F9" w:rsidRPr="00D356C0">
        <w:t xml:space="preserve"> grant and related cost sharing, se</w:t>
      </w:r>
      <w:r w:rsidR="00D356C0">
        <w:t>e</w:t>
      </w:r>
      <w:r w:rsidR="009159BB">
        <w:t>:</w:t>
      </w:r>
      <w:r w:rsidR="00E10F4A">
        <w:t xml:space="preserve"> </w:t>
      </w:r>
      <w:hyperlink r:id="rId21" w:history="1">
        <w:r w:rsidR="009159BB" w:rsidRPr="00E10F4A">
          <w:rPr>
            <w:rStyle w:val="Hyperlink"/>
          </w:rPr>
          <w:t>Salary Cap Calculator - $199,300</w:t>
        </w:r>
      </w:hyperlink>
      <w:r w:rsidR="009159BB">
        <w:t xml:space="preserve"> or </w:t>
      </w:r>
      <w:hyperlink r:id="rId22" w:history="1">
        <w:r w:rsidR="009159BB" w:rsidRPr="009159BB">
          <w:rPr>
            <w:rStyle w:val="Hyperlink"/>
          </w:rPr>
          <w:t>Salary Cap Calculator - $203,700</w:t>
        </w:r>
      </w:hyperlink>
      <w:r w:rsidR="009159BB">
        <w:t xml:space="preserve">.  </w:t>
      </w:r>
      <w:r w:rsidR="009159BB" w:rsidRPr="009159BB">
        <w:rPr>
          <w:color w:val="0000FF"/>
        </w:rPr>
        <w:t>Note - y</w:t>
      </w:r>
      <w:r w:rsidR="00D356C0" w:rsidRPr="009159BB">
        <w:rPr>
          <w:rFonts w:asciiTheme="minorHAnsi" w:hAnsiTheme="minorHAnsi" w:cstheme="minorHAnsi"/>
          <w:color w:val="0000FF"/>
        </w:rPr>
        <w:t>ou</w:t>
      </w:r>
      <w:r w:rsidR="00D356C0" w:rsidRPr="00D356C0">
        <w:rPr>
          <w:rFonts w:asciiTheme="minorHAnsi" w:hAnsiTheme="minorHAnsi" w:cstheme="minorHAnsi"/>
          <w:color w:val="0000FF"/>
        </w:rPr>
        <w:t xml:space="preserve"> can</w:t>
      </w:r>
      <w:r w:rsidR="00E10F4A">
        <w:rPr>
          <w:rFonts w:asciiTheme="minorHAnsi" w:hAnsiTheme="minorHAnsi" w:cstheme="minorHAnsi"/>
          <w:color w:val="0000FF"/>
        </w:rPr>
        <w:t xml:space="preserve"> also manually</w:t>
      </w:r>
      <w:r w:rsidR="00D356C0" w:rsidRPr="00D356C0">
        <w:rPr>
          <w:rFonts w:asciiTheme="minorHAnsi" w:hAnsiTheme="minorHAnsi" w:cstheme="minorHAnsi"/>
          <w:color w:val="0000FF"/>
        </w:rPr>
        <w:t xml:space="preserve"> modify the salary cap rate based upon the applicable effective date</w:t>
      </w:r>
      <w:r w:rsidR="00E10F4A">
        <w:rPr>
          <w:rFonts w:asciiTheme="minorHAnsi" w:hAnsiTheme="minorHAnsi" w:cstheme="minorHAnsi"/>
          <w:color w:val="0000FF"/>
        </w:rPr>
        <w:t xml:space="preserve"> via </w:t>
      </w:r>
      <w:r w:rsidR="00D356C0" w:rsidRPr="00D356C0">
        <w:rPr>
          <w:rFonts w:asciiTheme="minorHAnsi" w:hAnsiTheme="minorHAnsi" w:cstheme="minorHAnsi"/>
          <w:color w:val="0000FF"/>
        </w:rPr>
        <w:t>cell A13</w:t>
      </w:r>
      <w:r w:rsidR="00E10F4A">
        <w:rPr>
          <w:rFonts w:asciiTheme="minorHAnsi" w:hAnsiTheme="minorHAnsi" w:cstheme="minorHAnsi"/>
          <w:color w:val="0000FF"/>
        </w:rPr>
        <w:t xml:space="preserve"> in the worksheet</w:t>
      </w:r>
      <w:r w:rsidR="00D356C0" w:rsidRPr="00D356C0">
        <w:rPr>
          <w:rFonts w:asciiTheme="minorHAnsi" w:hAnsiTheme="minorHAnsi" w:cstheme="minorHAnsi"/>
          <w:color w:val="0000FF"/>
        </w:rPr>
        <w:t>.</w:t>
      </w:r>
    </w:p>
    <w:p w:rsidR="004A1951" w:rsidRPr="00712409" w:rsidRDefault="004A1951" w:rsidP="00712409">
      <w:pPr>
        <w:tabs>
          <w:tab w:val="left" w:pos="0"/>
        </w:tabs>
        <w:suppressAutoHyphens/>
        <w:rPr>
          <w:rFonts w:asciiTheme="minorHAnsi" w:hAnsiTheme="minorHAnsi"/>
        </w:rPr>
      </w:pPr>
    </w:p>
    <w:p w:rsidR="00712409" w:rsidRPr="00712409" w:rsidRDefault="00983AE4" w:rsidP="00712409">
      <w:pPr>
        <w:tabs>
          <w:tab w:val="left" w:pos="0"/>
        </w:tabs>
        <w:suppressAutoHyphens/>
        <w:rPr>
          <w:rFonts w:asciiTheme="minorHAnsi" w:hAnsiTheme="minorHAnsi"/>
          <w:u w:val="single"/>
        </w:rPr>
      </w:pPr>
      <w:r>
        <w:rPr>
          <w:rFonts w:asciiTheme="minorHAnsi" w:hAnsiTheme="minorHAnsi"/>
          <w:u w:val="single"/>
        </w:rPr>
        <w:t xml:space="preserve">Payroll Costing Allocation </w:t>
      </w:r>
      <w:r w:rsidR="00712409" w:rsidRPr="00712409">
        <w:rPr>
          <w:rFonts w:asciiTheme="minorHAnsi" w:hAnsiTheme="minorHAnsi"/>
          <w:u w:val="single"/>
        </w:rPr>
        <w:t>Issues:</w:t>
      </w:r>
    </w:p>
    <w:p w:rsidR="00712409" w:rsidRPr="000315A1" w:rsidRDefault="00712409" w:rsidP="00915FDE">
      <w:pPr>
        <w:numPr>
          <w:ilvl w:val="0"/>
          <w:numId w:val="2"/>
        </w:numPr>
        <w:tabs>
          <w:tab w:val="left" w:pos="0"/>
        </w:tabs>
        <w:suppressAutoHyphens/>
        <w:rPr>
          <w:rFonts w:asciiTheme="minorHAnsi" w:hAnsiTheme="minorHAnsi"/>
          <w:color w:val="0000FF"/>
        </w:rPr>
      </w:pPr>
      <w:r w:rsidRPr="001673A9">
        <w:rPr>
          <w:rFonts w:asciiTheme="minorHAnsi" w:hAnsiTheme="minorHAnsi"/>
        </w:rPr>
        <w:t xml:space="preserve">The salary cap limits implemented in </w:t>
      </w:r>
      <w:r w:rsidR="00AA52F9">
        <w:rPr>
          <w:rFonts w:asciiTheme="minorHAnsi" w:hAnsiTheme="minorHAnsi"/>
        </w:rPr>
        <w:t>WD</w:t>
      </w:r>
      <w:r w:rsidRPr="001673A9">
        <w:rPr>
          <w:rFonts w:asciiTheme="minorHAnsi" w:hAnsiTheme="minorHAnsi"/>
        </w:rPr>
        <w:t xml:space="preserve"> will continue to effect existing and future </w:t>
      </w:r>
      <w:r w:rsidR="00AA52F9">
        <w:rPr>
          <w:rFonts w:asciiTheme="minorHAnsi" w:hAnsiTheme="minorHAnsi"/>
        </w:rPr>
        <w:t>P</w:t>
      </w:r>
      <w:r w:rsidRPr="001673A9">
        <w:rPr>
          <w:rFonts w:asciiTheme="minorHAnsi" w:hAnsiTheme="minorHAnsi"/>
        </w:rPr>
        <w:t>ayroll</w:t>
      </w:r>
      <w:r w:rsidR="00AA52F9">
        <w:rPr>
          <w:rFonts w:asciiTheme="minorHAnsi" w:hAnsiTheme="minorHAnsi"/>
        </w:rPr>
        <w:t xml:space="preserve"> Costing Allocations</w:t>
      </w:r>
      <w:r w:rsidR="00085576">
        <w:rPr>
          <w:rFonts w:asciiTheme="minorHAnsi" w:hAnsiTheme="minorHAnsi"/>
        </w:rPr>
        <w:t xml:space="preserve"> (PCAs)</w:t>
      </w:r>
      <w:r w:rsidRPr="001673A9">
        <w:rPr>
          <w:rFonts w:asciiTheme="minorHAnsi" w:hAnsiTheme="minorHAnsi"/>
        </w:rPr>
        <w:t>.  Salaries for individuals currently paid from NIH</w:t>
      </w:r>
      <w:r w:rsidR="001673A9" w:rsidRPr="001673A9">
        <w:rPr>
          <w:rFonts w:asciiTheme="minorHAnsi" w:hAnsiTheme="minorHAnsi"/>
        </w:rPr>
        <w:t>/DHHS</w:t>
      </w:r>
      <w:r w:rsidRPr="001673A9">
        <w:rPr>
          <w:rFonts w:asciiTheme="minorHAnsi" w:hAnsiTheme="minorHAnsi"/>
        </w:rPr>
        <w:t xml:space="preserve"> funded projects will continue to post to the </w:t>
      </w:r>
      <w:r w:rsidR="00983AE4" w:rsidRPr="000315A1">
        <w:rPr>
          <w:rFonts w:asciiTheme="minorHAnsi" w:hAnsiTheme="minorHAnsi"/>
          <w:color w:val="0000FF"/>
        </w:rPr>
        <w:t xml:space="preserve">grant worktag </w:t>
      </w:r>
      <w:r w:rsidRPr="001673A9">
        <w:rPr>
          <w:rFonts w:asciiTheme="minorHAnsi" w:hAnsiTheme="minorHAnsi"/>
        </w:rPr>
        <w:t xml:space="preserve">and the </w:t>
      </w:r>
      <w:r w:rsidRPr="000315A1">
        <w:rPr>
          <w:rFonts w:asciiTheme="minorHAnsi" w:hAnsiTheme="minorHAnsi"/>
          <w:color w:val="0000FF"/>
        </w:rPr>
        <w:t xml:space="preserve">cost sharing </w:t>
      </w:r>
      <w:r w:rsidR="000315A1" w:rsidRPr="000315A1">
        <w:rPr>
          <w:rFonts w:asciiTheme="minorHAnsi" w:hAnsiTheme="minorHAnsi"/>
          <w:color w:val="0000FF"/>
        </w:rPr>
        <w:t>worktag</w:t>
      </w:r>
      <w:r w:rsidRPr="000315A1">
        <w:rPr>
          <w:rFonts w:asciiTheme="minorHAnsi" w:hAnsiTheme="minorHAnsi"/>
          <w:color w:val="0000FF"/>
        </w:rPr>
        <w:t xml:space="preserve"> </w:t>
      </w:r>
      <w:r w:rsidRPr="001673A9">
        <w:rPr>
          <w:rFonts w:asciiTheme="minorHAnsi" w:hAnsiTheme="minorHAnsi"/>
        </w:rPr>
        <w:t xml:space="preserve">based upon the NIH Salary Cap rates in </w:t>
      </w:r>
      <w:r w:rsidRPr="000315A1">
        <w:rPr>
          <w:rFonts w:asciiTheme="minorHAnsi" w:hAnsiTheme="minorHAnsi"/>
          <w:color w:val="0000FF"/>
        </w:rPr>
        <w:t xml:space="preserve">effect at that time </w:t>
      </w:r>
      <w:r w:rsidR="000315A1" w:rsidRPr="000315A1">
        <w:rPr>
          <w:rFonts w:asciiTheme="minorHAnsi" w:hAnsiTheme="minorHAnsi"/>
          <w:color w:val="0000FF"/>
        </w:rPr>
        <w:t xml:space="preserve">the PCA was originally processed.  </w:t>
      </w:r>
      <w:r w:rsidRPr="000315A1">
        <w:rPr>
          <w:rFonts w:asciiTheme="minorHAnsi" w:hAnsiTheme="minorHAnsi"/>
          <w:color w:val="0000FF"/>
        </w:rPr>
        <w:t xml:space="preserve"> </w:t>
      </w:r>
    </w:p>
    <w:p w:rsidR="00F55336" w:rsidRPr="0040577E" w:rsidRDefault="00F55336" w:rsidP="0040577E">
      <w:pPr>
        <w:tabs>
          <w:tab w:val="left" w:pos="0"/>
        </w:tabs>
        <w:suppressAutoHyphens/>
        <w:rPr>
          <w:rFonts w:asciiTheme="minorHAnsi" w:hAnsiTheme="minorHAnsi"/>
          <w:color w:val="0000FF"/>
        </w:rPr>
      </w:pPr>
    </w:p>
    <w:p w:rsidR="00712409" w:rsidRPr="00630A50" w:rsidRDefault="00712409" w:rsidP="00B15497">
      <w:pPr>
        <w:pStyle w:val="BodyText2"/>
        <w:tabs>
          <w:tab w:val="left" w:pos="360"/>
        </w:tabs>
        <w:ind w:left="360" w:hanging="360"/>
        <w:rPr>
          <w:rFonts w:asciiTheme="minorHAnsi" w:hAnsiTheme="minorHAnsi"/>
          <w:strike/>
          <w:color w:val="0000FF"/>
        </w:rPr>
      </w:pPr>
      <w:r w:rsidRPr="00712409">
        <w:rPr>
          <w:rFonts w:asciiTheme="minorHAnsi" w:hAnsiTheme="minorHAnsi"/>
          <w:b w:val="0"/>
        </w:rPr>
        <w:sym w:font="Symbol" w:char="F0B7"/>
      </w:r>
      <w:r w:rsidRPr="00712409">
        <w:rPr>
          <w:rFonts w:asciiTheme="minorHAnsi" w:hAnsiTheme="minorHAnsi"/>
          <w:b w:val="0"/>
        </w:rPr>
        <w:tab/>
        <w:t xml:space="preserve">The NIH Salary Cap limits must be incorporated </w:t>
      </w:r>
      <w:r w:rsidRPr="00712409">
        <w:rPr>
          <w:rFonts w:asciiTheme="minorHAnsi" w:hAnsiTheme="minorHAnsi"/>
          <w:i/>
        </w:rPr>
        <w:t xml:space="preserve">for all new </w:t>
      </w:r>
      <w:r w:rsidR="000315A1">
        <w:rPr>
          <w:rFonts w:asciiTheme="minorHAnsi" w:hAnsiTheme="minorHAnsi"/>
          <w:i/>
        </w:rPr>
        <w:t>PCAs</w:t>
      </w:r>
      <w:r w:rsidRPr="00712409">
        <w:rPr>
          <w:rFonts w:asciiTheme="minorHAnsi" w:hAnsiTheme="minorHAnsi"/>
          <w:b w:val="0"/>
        </w:rPr>
        <w:t xml:space="preserve"> during the remainder of the University’s FY 20</w:t>
      </w:r>
      <w:r w:rsidR="00CF53D6">
        <w:rPr>
          <w:rFonts w:asciiTheme="minorHAnsi" w:hAnsiTheme="minorHAnsi"/>
          <w:b w:val="0"/>
        </w:rPr>
        <w:t>2</w:t>
      </w:r>
      <w:r w:rsidR="00085576">
        <w:rPr>
          <w:rFonts w:asciiTheme="minorHAnsi" w:hAnsiTheme="minorHAnsi"/>
          <w:b w:val="0"/>
        </w:rPr>
        <w:t>2</w:t>
      </w:r>
      <w:r w:rsidRPr="00712409">
        <w:rPr>
          <w:rFonts w:asciiTheme="minorHAnsi" w:hAnsiTheme="minorHAnsi"/>
          <w:b w:val="0"/>
        </w:rPr>
        <w:t xml:space="preserve"> and for all grants sourced in FY 20</w:t>
      </w:r>
      <w:r w:rsidR="00100346">
        <w:rPr>
          <w:rFonts w:asciiTheme="minorHAnsi" w:hAnsiTheme="minorHAnsi"/>
          <w:b w:val="0"/>
        </w:rPr>
        <w:t>2</w:t>
      </w:r>
      <w:r w:rsidR="00085576">
        <w:rPr>
          <w:rFonts w:asciiTheme="minorHAnsi" w:hAnsiTheme="minorHAnsi"/>
          <w:b w:val="0"/>
        </w:rPr>
        <w:t>3</w:t>
      </w:r>
      <w:r w:rsidRPr="00712409">
        <w:rPr>
          <w:rFonts w:asciiTheme="minorHAnsi" w:hAnsiTheme="minorHAnsi"/>
          <w:b w:val="0"/>
        </w:rPr>
        <w:t xml:space="preserve">.  </w:t>
      </w:r>
    </w:p>
    <w:p w:rsidR="00712409" w:rsidRDefault="00712409" w:rsidP="00A80508">
      <w:pPr>
        <w:pStyle w:val="BodyText2"/>
        <w:tabs>
          <w:tab w:val="left" w:pos="360"/>
        </w:tabs>
        <w:rPr>
          <w:rFonts w:asciiTheme="minorHAnsi" w:hAnsiTheme="minorHAnsi"/>
          <w:b w:val="0"/>
        </w:rPr>
      </w:pPr>
    </w:p>
    <w:p w:rsidR="001F6EB0" w:rsidRPr="00085576" w:rsidRDefault="00520BED" w:rsidP="00B15497">
      <w:pPr>
        <w:pStyle w:val="BodyText2"/>
        <w:numPr>
          <w:ilvl w:val="0"/>
          <w:numId w:val="13"/>
        </w:numPr>
        <w:rPr>
          <w:rFonts w:asciiTheme="minorHAnsi" w:hAnsiTheme="minorHAnsi"/>
          <w:strike/>
          <w:u w:val="single"/>
        </w:rPr>
        <w:sectPr w:rsidR="001F6EB0" w:rsidRPr="00085576" w:rsidSect="001259D0">
          <w:headerReference w:type="even" r:id="rId23"/>
          <w:headerReference w:type="default" r:id="rId24"/>
          <w:footerReference w:type="default" r:id="rId25"/>
          <w:headerReference w:type="first" r:id="rId26"/>
          <w:endnotePr>
            <w:numFmt w:val="decimal"/>
          </w:endnotePr>
          <w:pgSz w:w="12240" w:h="15840"/>
          <w:pgMar w:top="1008" w:right="1440" w:bottom="1440" w:left="1440" w:header="432" w:footer="390" w:gutter="0"/>
          <w:pgNumType w:start="2"/>
          <w:cols w:space="720"/>
          <w:noEndnote/>
        </w:sectPr>
      </w:pPr>
      <w:r w:rsidRPr="00520BED">
        <w:rPr>
          <w:rFonts w:asciiTheme="minorHAnsi" w:hAnsiTheme="minorHAnsi"/>
          <w:b w:val="0"/>
        </w:rPr>
        <w:t>T</w:t>
      </w:r>
      <w:r w:rsidR="00712409" w:rsidRPr="00520BED">
        <w:rPr>
          <w:rFonts w:asciiTheme="minorHAnsi" w:hAnsiTheme="minorHAnsi"/>
          <w:b w:val="0"/>
        </w:rPr>
        <w:t xml:space="preserve">he following practice has been recommended for managing situations when one department (the PI’s primary department) is paying for the NIH salary cap cost sharing on grant activity performed in another (secondary) department.   To record the effort on the grant in the proper department, the cost sharing </w:t>
      </w:r>
      <w:r w:rsidRPr="00520BED">
        <w:rPr>
          <w:rFonts w:asciiTheme="minorHAnsi" w:hAnsiTheme="minorHAnsi"/>
          <w:b w:val="0"/>
          <w:color w:val="0000FF"/>
        </w:rPr>
        <w:t>worktag</w:t>
      </w:r>
      <w:r w:rsidR="00712409" w:rsidRPr="00520BED">
        <w:rPr>
          <w:rFonts w:asciiTheme="minorHAnsi" w:hAnsiTheme="minorHAnsi"/>
          <w:b w:val="0"/>
        </w:rPr>
        <w:t xml:space="preserve"> should be maintained by the department in which the grant activity is occurring</w:t>
      </w:r>
    </w:p>
    <w:p w:rsidR="00797AAD" w:rsidRPr="00085576" w:rsidRDefault="00797AAD" w:rsidP="007A0138">
      <w:pPr>
        <w:tabs>
          <w:tab w:val="left" w:pos="0"/>
        </w:tabs>
        <w:suppressAutoHyphens/>
        <w:rPr>
          <w:rFonts w:asciiTheme="minorHAnsi" w:hAnsiTheme="minorHAnsi"/>
          <w:strike/>
        </w:rPr>
      </w:pPr>
    </w:p>
    <w:sectPr w:rsidR="00797AAD" w:rsidRPr="00085576" w:rsidSect="00654CFE">
      <w:headerReference w:type="even" r:id="rId27"/>
      <w:headerReference w:type="default" r:id="rId28"/>
      <w:footerReference w:type="default" r:id="rId29"/>
      <w:headerReference w:type="first" r:id="rId30"/>
      <w:endnotePr>
        <w:numFmt w:val="decimal"/>
      </w:endnotePr>
      <w:pgSz w:w="12240" w:h="15840"/>
      <w:pgMar w:top="1008" w:right="1440" w:bottom="1440" w:left="1440" w:header="432" w:footer="390" w:gutter="0"/>
      <w:pgNumType w:start="1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28A" w:rsidRDefault="00E5728A">
      <w:r>
        <w:separator/>
      </w:r>
    </w:p>
  </w:endnote>
  <w:endnote w:type="continuationSeparator" w:id="0">
    <w:p w:rsidR="00E5728A" w:rsidRDefault="00E5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Win95BT">
    <w:altName w:val="Times New Roman"/>
    <w:charset w:val="00"/>
    <w:family w:val="roman"/>
    <w:pitch w:val="variable"/>
    <w:sig w:usb0="00000287" w:usb1="00000000" w:usb2="00000000" w:usb3="00000000" w:csb0="0000001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18C" w:rsidRPr="008224D9" w:rsidRDefault="009A618C" w:rsidP="008224D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96104"/>
      <w:docPartObj>
        <w:docPartGallery w:val="Page Numbers (Bottom of Page)"/>
        <w:docPartUnique/>
      </w:docPartObj>
    </w:sdtPr>
    <w:sdtEndPr/>
    <w:sdtContent>
      <w:p w:rsidR="009A618C" w:rsidRDefault="00BD4D35">
        <w:pPr>
          <w:pStyle w:val="Footer"/>
          <w:jc w:val="center"/>
        </w:pPr>
        <w:r>
          <w:fldChar w:fldCharType="begin"/>
        </w:r>
        <w:r>
          <w:instrText xml:space="preserve"> PAGE   \* MERGEFORMAT </w:instrText>
        </w:r>
        <w:r>
          <w:fldChar w:fldCharType="separate"/>
        </w:r>
        <w:r w:rsidR="0015107E">
          <w:rPr>
            <w:noProof/>
          </w:rPr>
          <w:t>4</w:t>
        </w:r>
        <w:r>
          <w:rPr>
            <w:noProof/>
          </w:rPr>
          <w:fldChar w:fldCharType="end"/>
        </w:r>
      </w:p>
    </w:sdtContent>
  </w:sdt>
  <w:p w:rsidR="009A618C" w:rsidRPr="008224D9" w:rsidRDefault="009A618C" w:rsidP="008224D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18C" w:rsidRPr="008224D9" w:rsidRDefault="009A618C" w:rsidP="008224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28A" w:rsidRDefault="00E5728A">
      <w:r>
        <w:separator/>
      </w:r>
    </w:p>
  </w:footnote>
  <w:footnote w:type="continuationSeparator" w:id="0">
    <w:p w:rsidR="00E5728A" w:rsidRDefault="00E57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144" w:rsidRDefault="00E572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3969"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144" w:rsidRDefault="00E572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3970"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144" w:rsidRDefault="00E572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3968"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577" w:rsidRDefault="00E572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3972" o:spid="_x0000_s2053"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18C" w:rsidRDefault="00E572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3973" o:spid="_x0000_s2054"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9A618C" w:rsidRDefault="009A618C">
    <w:pPr>
      <w:pStyle w:val="Header"/>
    </w:pPr>
  </w:p>
  <w:p w:rsidR="009A618C" w:rsidRPr="001F6EB0" w:rsidRDefault="009A618C" w:rsidP="001F6EB0">
    <w:pPr>
      <w:pStyle w:val="Header"/>
      <w:jc w:val="center"/>
      <w:rPr>
        <w:rFonts w:asciiTheme="minorHAnsi" w:hAnsiTheme="minorHAnsi"/>
        <w:b/>
        <w:sz w:val="28"/>
        <w:szCs w:val="28"/>
      </w:rPr>
    </w:pPr>
    <w:r w:rsidRPr="001F6EB0">
      <w:rPr>
        <w:rFonts w:asciiTheme="minorHAnsi" w:hAnsiTheme="minorHAnsi"/>
        <w:b/>
        <w:sz w:val="28"/>
        <w:szCs w:val="28"/>
      </w:rPr>
      <w:t>Washington University</w:t>
    </w:r>
  </w:p>
  <w:p w:rsidR="009A618C" w:rsidRPr="001F6EB0" w:rsidRDefault="009A618C" w:rsidP="001F6EB0">
    <w:pPr>
      <w:pStyle w:val="Header"/>
      <w:jc w:val="center"/>
      <w:rPr>
        <w:rFonts w:asciiTheme="minorHAnsi" w:hAnsiTheme="minorHAnsi"/>
        <w:b/>
        <w:sz w:val="28"/>
        <w:szCs w:val="28"/>
        <w:u w:val="single"/>
      </w:rPr>
    </w:pPr>
    <w:r w:rsidRPr="001F6EB0">
      <w:rPr>
        <w:rFonts w:asciiTheme="minorHAnsi" w:hAnsiTheme="minorHAnsi"/>
        <w:b/>
        <w:sz w:val="28"/>
        <w:szCs w:val="28"/>
        <w:u w:val="single"/>
      </w:rPr>
      <w:t>NIH Salary Cap Policies and Procedures</w:t>
    </w:r>
  </w:p>
  <w:p w:rsidR="009A618C" w:rsidRPr="001F6EB0" w:rsidRDefault="00C11FE0" w:rsidP="001F6EB0">
    <w:pPr>
      <w:pStyle w:val="Header"/>
      <w:jc w:val="center"/>
      <w:rPr>
        <w:rFonts w:asciiTheme="minorHAnsi" w:hAnsiTheme="minorHAnsi"/>
        <w:b/>
        <w:sz w:val="28"/>
        <w:szCs w:val="28"/>
      </w:rPr>
    </w:pPr>
    <w:r>
      <w:rPr>
        <w:rFonts w:asciiTheme="minorHAnsi" w:hAnsiTheme="minorHAnsi"/>
        <w:b/>
        <w:sz w:val="28"/>
        <w:szCs w:val="28"/>
      </w:rPr>
      <w:t>February</w:t>
    </w:r>
    <w:r w:rsidR="009A618C" w:rsidRPr="001F6EB0">
      <w:rPr>
        <w:rFonts w:asciiTheme="minorHAnsi" w:hAnsiTheme="minorHAnsi"/>
        <w:b/>
        <w:sz w:val="28"/>
        <w:szCs w:val="28"/>
      </w:rPr>
      <w:t xml:space="preserve"> 20</w:t>
    </w:r>
    <w:r>
      <w:rPr>
        <w:rFonts w:asciiTheme="minorHAnsi" w:hAnsiTheme="minorHAnsi"/>
        <w:b/>
        <w:sz w:val="28"/>
        <w:szCs w:val="28"/>
      </w:rPr>
      <w:t>2</w:t>
    </w:r>
    <w:r w:rsidR="00EA197B">
      <w:rPr>
        <w:rFonts w:asciiTheme="minorHAnsi" w:hAnsiTheme="minorHAnsi"/>
        <w:b/>
        <w:sz w:val="28"/>
        <w:szCs w:val="28"/>
      </w:rPr>
      <w:t>2</w:t>
    </w:r>
  </w:p>
  <w:p w:rsidR="009A618C" w:rsidRDefault="009A61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577" w:rsidRDefault="00E572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3971" o:spid="_x0000_s2052"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577" w:rsidRDefault="00E572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3975" o:spid="_x0000_s2056"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18C" w:rsidRDefault="00E572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3976" o:spid="_x0000_s2057" type="#_x0000_t136" style="position:absolute;margin-left:0;margin-top:0;width:471.3pt;height:188.5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9A618C" w:rsidRDefault="009A618C">
    <w:pPr>
      <w:pStyle w:val="Header"/>
    </w:pPr>
  </w:p>
  <w:p w:rsidR="009A618C" w:rsidRDefault="009A618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577" w:rsidRDefault="00E572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3974" o:spid="_x0000_s2055"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96C9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34808F6"/>
    <w:multiLevelType w:val="hybridMultilevel"/>
    <w:tmpl w:val="E8EC4BF2"/>
    <w:lvl w:ilvl="0" w:tplc="93349FDE">
      <w:start w:val="1"/>
      <w:numFmt w:val="bullet"/>
      <w:lvlText w:val=""/>
      <w:lvlJc w:val="left"/>
      <w:pPr>
        <w:tabs>
          <w:tab w:val="num" w:pos="405"/>
        </w:tabs>
        <w:ind w:left="40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078403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500A82"/>
    <w:multiLevelType w:val="hybridMultilevel"/>
    <w:tmpl w:val="C19E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57101"/>
    <w:multiLevelType w:val="hybridMultilevel"/>
    <w:tmpl w:val="20B660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5E5C9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38504E0"/>
    <w:multiLevelType w:val="hybridMultilevel"/>
    <w:tmpl w:val="736446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086ABB"/>
    <w:multiLevelType w:val="singleLevel"/>
    <w:tmpl w:val="5A92F74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9E6DC0"/>
    <w:multiLevelType w:val="singleLevel"/>
    <w:tmpl w:val="DA5C918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35B0CA2"/>
    <w:multiLevelType w:val="hybridMultilevel"/>
    <w:tmpl w:val="CEAC19EC"/>
    <w:lvl w:ilvl="0" w:tplc="8092D320">
      <w:start w:val="1"/>
      <w:numFmt w:val="decimal"/>
      <w:lvlText w:val="%1."/>
      <w:lvlJc w:val="left"/>
      <w:pPr>
        <w:tabs>
          <w:tab w:val="num" w:pos="720"/>
        </w:tabs>
        <w:ind w:left="720" w:hanging="360"/>
      </w:pPr>
    </w:lvl>
    <w:lvl w:ilvl="1" w:tplc="2996B40C" w:tentative="1">
      <w:start w:val="1"/>
      <w:numFmt w:val="lowerLetter"/>
      <w:lvlText w:val="%2."/>
      <w:lvlJc w:val="left"/>
      <w:pPr>
        <w:tabs>
          <w:tab w:val="num" w:pos="1440"/>
        </w:tabs>
        <w:ind w:left="1440" w:hanging="360"/>
      </w:pPr>
    </w:lvl>
    <w:lvl w:ilvl="2" w:tplc="CEDE9A58" w:tentative="1">
      <w:start w:val="1"/>
      <w:numFmt w:val="lowerRoman"/>
      <w:lvlText w:val="%3."/>
      <w:lvlJc w:val="right"/>
      <w:pPr>
        <w:tabs>
          <w:tab w:val="num" w:pos="2160"/>
        </w:tabs>
        <w:ind w:left="2160" w:hanging="180"/>
      </w:pPr>
    </w:lvl>
    <w:lvl w:ilvl="3" w:tplc="CB96E3B0" w:tentative="1">
      <w:start w:val="1"/>
      <w:numFmt w:val="decimal"/>
      <w:lvlText w:val="%4."/>
      <w:lvlJc w:val="left"/>
      <w:pPr>
        <w:tabs>
          <w:tab w:val="num" w:pos="2880"/>
        </w:tabs>
        <w:ind w:left="2880" w:hanging="360"/>
      </w:pPr>
    </w:lvl>
    <w:lvl w:ilvl="4" w:tplc="54BAD9B4" w:tentative="1">
      <w:start w:val="1"/>
      <w:numFmt w:val="lowerLetter"/>
      <w:lvlText w:val="%5."/>
      <w:lvlJc w:val="left"/>
      <w:pPr>
        <w:tabs>
          <w:tab w:val="num" w:pos="3600"/>
        </w:tabs>
        <w:ind w:left="3600" w:hanging="360"/>
      </w:pPr>
    </w:lvl>
    <w:lvl w:ilvl="5" w:tplc="861C7184" w:tentative="1">
      <w:start w:val="1"/>
      <w:numFmt w:val="lowerRoman"/>
      <w:lvlText w:val="%6."/>
      <w:lvlJc w:val="right"/>
      <w:pPr>
        <w:tabs>
          <w:tab w:val="num" w:pos="4320"/>
        </w:tabs>
        <w:ind w:left="4320" w:hanging="180"/>
      </w:pPr>
    </w:lvl>
    <w:lvl w:ilvl="6" w:tplc="53B482EE" w:tentative="1">
      <w:start w:val="1"/>
      <w:numFmt w:val="decimal"/>
      <w:lvlText w:val="%7."/>
      <w:lvlJc w:val="left"/>
      <w:pPr>
        <w:tabs>
          <w:tab w:val="num" w:pos="5040"/>
        </w:tabs>
        <w:ind w:left="5040" w:hanging="360"/>
      </w:pPr>
    </w:lvl>
    <w:lvl w:ilvl="7" w:tplc="50DA4BD6" w:tentative="1">
      <w:start w:val="1"/>
      <w:numFmt w:val="lowerLetter"/>
      <w:lvlText w:val="%8."/>
      <w:lvlJc w:val="left"/>
      <w:pPr>
        <w:tabs>
          <w:tab w:val="num" w:pos="5760"/>
        </w:tabs>
        <w:ind w:left="5760" w:hanging="360"/>
      </w:pPr>
    </w:lvl>
    <w:lvl w:ilvl="8" w:tplc="ADF06052" w:tentative="1">
      <w:start w:val="1"/>
      <w:numFmt w:val="lowerRoman"/>
      <w:lvlText w:val="%9."/>
      <w:lvlJc w:val="right"/>
      <w:pPr>
        <w:tabs>
          <w:tab w:val="num" w:pos="6480"/>
        </w:tabs>
        <w:ind w:left="6480" w:hanging="180"/>
      </w:pPr>
    </w:lvl>
  </w:abstractNum>
  <w:abstractNum w:abstractNumId="11" w15:restartNumberingAfterBreak="0">
    <w:nsid w:val="288B1FFF"/>
    <w:multiLevelType w:val="hybridMultilevel"/>
    <w:tmpl w:val="728E4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7C0381"/>
    <w:multiLevelType w:val="singleLevel"/>
    <w:tmpl w:val="DA5C918A"/>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DC653CD"/>
    <w:multiLevelType w:val="hybridMultilevel"/>
    <w:tmpl w:val="4CD61A3E"/>
    <w:lvl w:ilvl="0" w:tplc="04090001">
      <w:start w:val="1"/>
      <w:numFmt w:val="bullet"/>
      <w:lvlText w:val=""/>
      <w:lvlJc w:val="left"/>
      <w:pPr>
        <w:tabs>
          <w:tab w:val="num" w:pos="360"/>
        </w:tabs>
        <w:ind w:left="360" w:hanging="360"/>
      </w:pPr>
      <w:rPr>
        <w:rFonts w:ascii="Symbol" w:hAnsi="Symbol" w:hint="default"/>
        <w:color w:val="0000FF"/>
        <w:sz w:val="18"/>
      </w:rPr>
    </w:lvl>
    <w:lvl w:ilvl="1" w:tplc="04090003" w:tentative="1">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4" w15:restartNumberingAfterBreak="0">
    <w:nsid w:val="3F2F2DED"/>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43815DFD"/>
    <w:multiLevelType w:val="hybridMultilevel"/>
    <w:tmpl w:val="E28CB9CA"/>
    <w:lvl w:ilvl="0" w:tplc="93349FDE">
      <w:start w:val="1"/>
      <w:numFmt w:val="bullet"/>
      <w:lvlText w:val=""/>
      <w:lvlJc w:val="left"/>
      <w:pPr>
        <w:tabs>
          <w:tab w:val="num" w:pos="360"/>
        </w:tabs>
        <w:ind w:left="360" w:hanging="360"/>
      </w:pPr>
      <w:rPr>
        <w:rFonts w:ascii="Symbol" w:hAnsi="Symbol" w:hint="default"/>
        <w:color w:val="0000FF"/>
        <w:sz w:val="18"/>
      </w:rPr>
    </w:lvl>
    <w:lvl w:ilvl="1" w:tplc="04090003" w:tentative="1">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6" w15:restartNumberingAfterBreak="0">
    <w:nsid w:val="441E71FC"/>
    <w:multiLevelType w:val="hybridMultilevel"/>
    <w:tmpl w:val="5F9A1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A95E84"/>
    <w:multiLevelType w:val="hybridMultilevel"/>
    <w:tmpl w:val="8736A7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726405"/>
    <w:multiLevelType w:val="hybridMultilevel"/>
    <w:tmpl w:val="B65680CC"/>
    <w:lvl w:ilvl="0" w:tplc="F4B677F4">
      <w:start w:val="1"/>
      <w:numFmt w:val="bullet"/>
      <w:lvlText w:val=""/>
      <w:lvlJc w:val="left"/>
      <w:pPr>
        <w:tabs>
          <w:tab w:val="num" w:pos="648"/>
        </w:tabs>
        <w:ind w:left="648" w:hanging="648"/>
      </w:pPr>
      <w:rPr>
        <w:rFonts w:ascii="Symbol" w:hAnsi="Symbol" w:cs="Times New Roman" w:hint="default"/>
        <w:color w:val="0000FF"/>
        <w:sz w:val="18"/>
      </w:rPr>
    </w:lvl>
    <w:lvl w:ilvl="1" w:tplc="04090003" w:tentative="1">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9" w15:restartNumberingAfterBreak="0">
    <w:nsid w:val="4A5E432F"/>
    <w:multiLevelType w:val="singleLevel"/>
    <w:tmpl w:val="5A92F74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BA41456"/>
    <w:multiLevelType w:val="hybridMultilevel"/>
    <w:tmpl w:val="E1924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32325"/>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EBB2682"/>
    <w:multiLevelType w:val="hybridMultilevel"/>
    <w:tmpl w:val="C444D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15734F"/>
    <w:multiLevelType w:val="hybridMultilevel"/>
    <w:tmpl w:val="50483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FC4752"/>
    <w:multiLevelType w:val="hybridMultilevel"/>
    <w:tmpl w:val="9A484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B00A24"/>
    <w:multiLevelType w:val="multilevel"/>
    <w:tmpl w:val="4CD61A3E"/>
    <w:lvl w:ilvl="0">
      <w:start w:val="1"/>
      <w:numFmt w:val="bullet"/>
      <w:lvlText w:val=""/>
      <w:lvlJc w:val="left"/>
      <w:pPr>
        <w:tabs>
          <w:tab w:val="num" w:pos="360"/>
        </w:tabs>
        <w:ind w:left="360" w:hanging="360"/>
      </w:pPr>
      <w:rPr>
        <w:rFonts w:ascii="Symbol" w:hAnsi="Symbol" w:hint="default"/>
        <w:color w:val="0000FF"/>
        <w:sz w:val="18"/>
      </w:rPr>
    </w:lvl>
    <w:lvl w:ilvl="1">
      <w:start w:val="1"/>
      <w:numFmt w:val="bullet"/>
      <w:lvlText w:val="o"/>
      <w:lvlJc w:val="left"/>
      <w:pPr>
        <w:tabs>
          <w:tab w:val="num" w:pos="648"/>
        </w:tabs>
        <w:ind w:left="648" w:hanging="360"/>
      </w:pPr>
      <w:rPr>
        <w:rFonts w:ascii="Courier New" w:hAnsi="Courier New" w:cs="Courier New" w:hint="default"/>
      </w:rPr>
    </w:lvl>
    <w:lvl w:ilvl="2">
      <w:start w:val="1"/>
      <w:numFmt w:val="bullet"/>
      <w:lvlText w:val=""/>
      <w:lvlJc w:val="left"/>
      <w:pPr>
        <w:tabs>
          <w:tab w:val="num" w:pos="1368"/>
        </w:tabs>
        <w:ind w:left="1368" w:hanging="360"/>
      </w:pPr>
      <w:rPr>
        <w:rFonts w:ascii="Wingdings" w:hAnsi="Wingding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o"/>
      <w:lvlJc w:val="left"/>
      <w:pPr>
        <w:tabs>
          <w:tab w:val="num" w:pos="2808"/>
        </w:tabs>
        <w:ind w:left="2808" w:hanging="360"/>
      </w:pPr>
      <w:rPr>
        <w:rFonts w:ascii="Courier New" w:hAnsi="Courier New" w:cs="Courier New" w:hint="default"/>
      </w:rPr>
    </w:lvl>
    <w:lvl w:ilvl="5">
      <w:start w:val="1"/>
      <w:numFmt w:val="bullet"/>
      <w:lvlText w:val=""/>
      <w:lvlJc w:val="left"/>
      <w:pPr>
        <w:tabs>
          <w:tab w:val="num" w:pos="3528"/>
        </w:tabs>
        <w:ind w:left="3528" w:hanging="360"/>
      </w:pPr>
      <w:rPr>
        <w:rFonts w:ascii="Wingdings" w:hAnsi="Wingdings" w:hint="default"/>
      </w:rPr>
    </w:lvl>
    <w:lvl w:ilvl="6">
      <w:start w:val="1"/>
      <w:numFmt w:val="bullet"/>
      <w:lvlText w:val=""/>
      <w:lvlJc w:val="left"/>
      <w:pPr>
        <w:tabs>
          <w:tab w:val="num" w:pos="4248"/>
        </w:tabs>
        <w:ind w:left="4248" w:hanging="360"/>
      </w:pPr>
      <w:rPr>
        <w:rFonts w:ascii="Symbol" w:hAnsi="Symbol" w:hint="default"/>
      </w:rPr>
    </w:lvl>
    <w:lvl w:ilvl="7">
      <w:start w:val="1"/>
      <w:numFmt w:val="bullet"/>
      <w:lvlText w:val="o"/>
      <w:lvlJc w:val="left"/>
      <w:pPr>
        <w:tabs>
          <w:tab w:val="num" w:pos="4968"/>
        </w:tabs>
        <w:ind w:left="4968" w:hanging="360"/>
      </w:pPr>
      <w:rPr>
        <w:rFonts w:ascii="Courier New" w:hAnsi="Courier New" w:cs="Courier New" w:hint="default"/>
      </w:rPr>
    </w:lvl>
    <w:lvl w:ilvl="8">
      <w:start w:val="1"/>
      <w:numFmt w:val="bullet"/>
      <w:lvlText w:val=""/>
      <w:lvlJc w:val="left"/>
      <w:pPr>
        <w:tabs>
          <w:tab w:val="num" w:pos="5688"/>
        </w:tabs>
        <w:ind w:left="5688" w:hanging="360"/>
      </w:pPr>
      <w:rPr>
        <w:rFonts w:ascii="Wingdings" w:hAnsi="Wingdings" w:hint="default"/>
      </w:rPr>
    </w:lvl>
  </w:abstractNum>
  <w:abstractNum w:abstractNumId="26" w15:restartNumberingAfterBreak="0">
    <w:nsid w:val="594C7912"/>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5B993E00"/>
    <w:multiLevelType w:val="hybridMultilevel"/>
    <w:tmpl w:val="7034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44995"/>
    <w:multiLevelType w:val="hybridMultilevel"/>
    <w:tmpl w:val="4796C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33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4E6281"/>
    <w:multiLevelType w:val="multilevel"/>
    <w:tmpl w:val="B65680CC"/>
    <w:lvl w:ilvl="0">
      <w:start w:val="1"/>
      <w:numFmt w:val="bullet"/>
      <w:lvlText w:val=""/>
      <w:lvlJc w:val="left"/>
      <w:pPr>
        <w:tabs>
          <w:tab w:val="num" w:pos="648"/>
        </w:tabs>
        <w:ind w:left="648" w:hanging="648"/>
      </w:pPr>
      <w:rPr>
        <w:rFonts w:ascii="Symbol" w:hAnsi="Symbol" w:cs="Times New Roman" w:hint="default"/>
        <w:color w:val="0000FF"/>
        <w:sz w:val="18"/>
      </w:rPr>
    </w:lvl>
    <w:lvl w:ilvl="1">
      <w:start w:val="1"/>
      <w:numFmt w:val="bullet"/>
      <w:lvlText w:val="o"/>
      <w:lvlJc w:val="left"/>
      <w:pPr>
        <w:tabs>
          <w:tab w:val="num" w:pos="648"/>
        </w:tabs>
        <w:ind w:left="648" w:hanging="360"/>
      </w:pPr>
      <w:rPr>
        <w:rFonts w:ascii="Courier New" w:hAnsi="Courier New" w:cs="Courier New" w:hint="default"/>
      </w:rPr>
    </w:lvl>
    <w:lvl w:ilvl="2">
      <w:start w:val="1"/>
      <w:numFmt w:val="bullet"/>
      <w:lvlText w:val=""/>
      <w:lvlJc w:val="left"/>
      <w:pPr>
        <w:tabs>
          <w:tab w:val="num" w:pos="1368"/>
        </w:tabs>
        <w:ind w:left="1368" w:hanging="360"/>
      </w:pPr>
      <w:rPr>
        <w:rFonts w:ascii="Wingdings" w:hAnsi="Wingding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o"/>
      <w:lvlJc w:val="left"/>
      <w:pPr>
        <w:tabs>
          <w:tab w:val="num" w:pos="2808"/>
        </w:tabs>
        <w:ind w:left="2808" w:hanging="360"/>
      </w:pPr>
      <w:rPr>
        <w:rFonts w:ascii="Courier New" w:hAnsi="Courier New" w:cs="Courier New" w:hint="default"/>
      </w:rPr>
    </w:lvl>
    <w:lvl w:ilvl="5">
      <w:start w:val="1"/>
      <w:numFmt w:val="bullet"/>
      <w:lvlText w:val=""/>
      <w:lvlJc w:val="left"/>
      <w:pPr>
        <w:tabs>
          <w:tab w:val="num" w:pos="3528"/>
        </w:tabs>
        <w:ind w:left="3528" w:hanging="360"/>
      </w:pPr>
      <w:rPr>
        <w:rFonts w:ascii="Wingdings" w:hAnsi="Wingdings" w:hint="default"/>
      </w:rPr>
    </w:lvl>
    <w:lvl w:ilvl="6">
      <w:start w:val="1"/>
      <w:numFmt w:val="bullet"/>
      <w:lvlText w:val=""/>
      <w:lvlJc w:val="left"/>
      <w:pPr>
        <w:tabs>
          <w:tab w:val="num" w:pos="4248"/>
        </w:tabs>
        <w:ind w:left="4248" w:hanging="360"/>
      </w:pPr>
      <w:rPr>
        <w:rFonts w:ascii="Symbol" w:hAnsi="Symbol" w:hint="default"/>
      </w:rPr>
    </w:lvl>
    <w:lvl w:ilvl="7">
      <w:start w:val="1"/>
      <w:numFmt w:val="bullet"/>
      <w:lvlText w:val="o"/>
      <w:lvlJc w:val="left"/>
      <w:pPr>
        <w:tabs>
          <w:tab w:val="num" w:pos="4968"/>
        </w:tabs>
        <w:ind w:left="4968" w:hanging="360"/>
      </w:pPr>
      <w:rPr>
        <w:rFonts w:ascii="Courier New" w:hAnsi="Courier New" w:cs="Courier New" w:hint="default"/>
      </w:rPr>
    </w:lvl>
    <w:lvl w:ilvl="8">
      <w:start w:val="1"/>
      <w:numFmt w:val="bullet"/>
      <w:lvlText w:val=""/>
      <w:lvlJc w:val="left"/>
      <w:pPr>
        <w:tabs>
          <w:tab w:val="num" w:pos="5688"/>
        </w:tabs>
        <w:ind w:left="5688" w:hanging="360"/>
      </w:pPr>
      <w:rPr>
        <w:rFonts w:ascii="Wingdings" w:hAnsi="Wingdings" w:hint="default"/>
      </w:rPr>
    </w:lvl>
  </w:abstractNum>
  <w:abstractNum w:abstractNumId="31" w15:restartNumberingAfterBreak="0">
    <w:nsid w:val="6DA23FA5"/>
    <w:multiLevelType w:val="hybridMultilevel"/>
    <w:tmpl w:val="E12C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185E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366769"/>
    <w:multiLevelType w:val="singleLevel"/>
    <w:tmpl w:val="5A92F74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8D26300"/>
    <w:multiLevelType w:val="hybridMultilevel"/>
    <w:tmpl w:val="780C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32"/>
  </w:num>
  <w:num w:numId="4">
    <w:abstractNumId w:val="21"/>
  </w:num>
  <w:num w:numId="5">
    <w:abstractNumId w:val="1"/>
  </w:num>
  <w:num w:numId="6">
    <w:abstractNumId w:val="29"/>
  </w:num>
  <w:num w:numId="7">
    <w:abstractNumId w:val="6"/>
  </w:num>
  <w:num w:numId="8">
    <w:abstractNumId w:val="26"/>
  </w:num>
  <w:num w:numId="9">
    <w:abstractNumId w:val="10"/>
  </w:num>
  <w:num w:numId="10">
    <w:abstractNumId w:val="9"/>
  </w:num>
  <w:num w:numId="11">
    <w:abstractNumId w:val="12"/>
  </w:num>
  <w:num w:numId="12">
    <w:abstractNumId w:val="19"/>
  </w:num>
  <w:num w:numId="13">
    <w:abstractNumId w:val="33"/>
  </w:num>
  <w:num w:numId="14">
    <w:abstractNumId w:val="0"/>
    <w:lvlOverride w:ilvl="0">
      <w:lvl w:ilvl="0">
        <w:numFmt w:val="bullet"/>
        <w:lvlText w:val="•"/>
        <w:legacy w:legacy="1" w:legacySpace="0" w:legacyIndent="0"/>
        <w:lvlJc w:val="left"/>
        <w:rPr>
          <w:rFonts w:ascii="Times New Roman" w:hAnsi="Times New Roman" w:hint="default"/>
          <w:sz w:val="56"/>
        </w:rPr>
      </w:lvl>
    </w:lvlOverride>
  </w:num>
  <w:num w:numId="15">
    <w:abstractNumId w:val="8"/>
  </w:num>
  <w:num w:numId="16">
    <w:abstractNumId w:val="18"/>
  </w:num>
  <w:num w:numId="17">
    <w:abstractNumId w:val="30"/>
  </w:num>
  <w:num w:numId="18">
    <w:abstractNumId w:val="13"/>
  </w:num>
  <w:num w:numId="19">
    <w:abstractNumId w:val="25"/>
  </w:num>
  <w:num w:numId="20">
    <w:abstractNumId w:val="15"/>
  </w:num>
  <w:num w:numId="21">
    <w:abstractNumId w:val="2"/>
  </w:num>
  <w:num w:numId="22">
    <w:abstractNumId w:val="20"/>
  </w:num>
  <w:num w:numId="23">
    <w:abstractNumId w:val="23"/>
  </w:num>
  <w:num w:numId="24">
    <w:abstractNumId w:val="28"/>
  </w:num>
  <w:num w:numId="25">
    <w:abstractNumId w:val="4"/>
  </w:num>
  <w:num w:numId="26">
    <w:abstractNumId w:val="22"/>
  </w:num>
  <w:num w:numId="27">
    <w:abstractNumId w:val="16"/>
  </w:num>
  <w:num w:numId="28">
    <w:abstractNumId w:val="5"/>
  </w:num>
  <w:num w:numId="29">
    <w:abstractNumId w:val="7"/>
  </w:num>
  <w:num w:numId="30">
    <w:abstractNumId w:val="27"/>
  </w:num>
  <w:num w:numId="31">
    <w:abstractNumId w:val="24"/>
  </w:num>
  <w:num w:numId="32">
    <w:abstractNumId w:val="17"/>
  </w:num>
  <w:num w:numId="33">
    <w:abstractNumId w:val="11"/>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8"/>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65"/>
    <w:rsid w:val="000023FA"/>
    <w:rsid w:val="00004005"/>
    <w:rsid w:val="00015D4F"/>
    <w:rsid w:val="00016D3C"/>
    <w:rsid w:val="000209F7"/>
    <w:rsid w:val="00020FF3"/>
    <w:rsid w:val="00022F05"/>
    <w:rsid w:val="00025DC4"/>
    <w:rsid w:val="0003152C"/>
    <w:rsid w:val="000315A1"/>
    <w:rsid w:val="00033E0F"/>
    <w:rsid w:val="00034743"/>
    <w:rsid w:val="000350B8"/>
    <w:rsid w:val="00037B0B"/>
    <w:rsid w:val="00044393"/>
    <w:rsid w:val="000503C7"/>
    <w:rsid w:val="00065C0F"/>
    <w:rsid w:val="00067022"/>
    <w:rsid w:val="00072280"/>
    <w:rsid w:val="000846EF"/>
    <w:rsid w:val="00085576"/>
    <w:rsid w:val="000951F8"/>
    <w:rsid w:val="000954B2"/>
    <w:rsid w:val="000A15DC"/>
    <w:rsid w:val="000A2616"/>
    <w:rsid w:val="000A2C8F"/>
    <w:rsid w:val="000B17B3"/>
    <w:rsid w:val="000B239C"/>
    <w:rsid w:val="000B2548"/>
    <w:rsid w:val="000B354A"/>
    <w:rsid w:val="000B375B"/>
    <w:rsid w:val="000B4DC4"/>
    <w:rsid w:val="000C008E"/>
    <w:rsid w:val="000C13C2"/>
    <w:rsid w:val="000C287F"/>
    <w:rsid w:val="000C4694"/>
    <w:rsid w:val="000C56C9"/>
    <w:rsid w:val="000D57D1"/>
    <w:rsid w:val="000D750A"/>
    <w:rsid w:val="000D76B2"/>
    <w:rsid w:val="000D7AF7"/>
    <w:rsid w:val="000E05E7"/>
    <w:rsid w:val="000E7F41"/>
    <w:rsid w:val="000F11A4"/>
    <w:rsid w:val="000F4638"/>
    <w:rsid w:val="000F5EA2"/>
    <w:rsid w:val="000F7035"/>
    <w:rsid w:val="00100346"/>
    <w:rsid w:val="001006F5"/>
    <w:rsid w:val="00100715"/>
    <w:rsid w:val="00104642"/>
    <w:rsid w:val="001200B7"/>
    <w:rsid w:val="001218E2"/>
    <w:rsid w:val="00122682"/>
    <w:rsid w:val="001226CC"/>
    <w:rsid w:val="0012319F"/>
    <w:rsid w:val="001235F9"/>
    <w:rsid w:val="0012367A"/>
    <w:rsid w:val="00123C8B"/>
    <w:rsid w:val="00123DD5"/>
    <w:rsid w:val="00125940"/>
    <w:rsid w:val="001259D0"/>
    <w:rsid w:val="00130441"/>
    <w:rsid w:val="00131199"/>
    <w:rsid w:val="0013212E"/>
    <w:rsid w:val="0014385A"/>
    <w:rsid w:val="00143878"/>
    <w:rsid w:val="00144650"/>
    <w:rsid w:val="00146E05"/>
    <w:rsid w:val="001472BD"/>
    <w:rsid w:val="0015062F"/>
    <w:rsid w:val="0015093F"/>
    <w:rsid w:val="00150A27"/>
    <w:rsid w:val="0015107E"/>
    <w:rsid w:val="0015317D"/>
    <w:rsid w:val="0015375A"/>
    <w:rsid w:val="00155FD0"/>
    <w:rsid w:val="001578D0"/>
    <w:rsid w:val="00161037"/>
    <w:rsid w:val="00162DFC"/>
    <w:rsid w:val="00166A26"/>
    <w:rsid w:val="00166E35"/>
    <w:rsid w:val="001673A9"/>
    <w:rsid w:val="0016765E"/>
    <w:rsid w:val="00184AEF"/>
    <w:rsid w:val="001866B6"/>
    <w:rsid w:val="0019001C"/>
    <w:rsid w:val="001933EC"/>
    <w:rsid w:val="00197E74"/>
    <w:rsid w:val="001A5E82"/>
    <w:rsid w:val="001A656C"/>
    <w:rsid w:val="001A6A1F"/>
    <w:rsid w:val="001A7FE4"/>
    <w:rsid w:val="001B0631"/>
    <w:rsid w:val="001B0A13"/>
    <w:rsid w:val="001B1B3A"/>
    <w:rsid w:val="001B1EC3"/>
    <w:rsid w:val="001B2C78"/>
    <w:rsid w:val="001B34CD"/>
    <w:rsid w:val="001B5A17"/>
    <w:rsid w:val="001B6098"/>
    <w:rsid w:val="001B6D16"/>
    <w:rsid w:val="001C3F56"/>
    <w:rsid w:val="001C45AB"/>
    <w:rsid w:val="001C6504"/>
    <w:rsid w:val="001C7BAC"/>
    <w:rsid w:val="001D137F"/>
    <w:rsid w:val="001D1D59"/>
    <w:rsid w:val="001D5865"/>
    <w:rsid w:val="001E028F"/>
    <w:rsid w:val="001E5F08"/>
    <w:rsid w:val="001E7282"/>
    <w:rsid w:val="001F2429"/>
    <w:rsid w:val="001F368D"/>
    <w:rsid w:val="001F4271"/>
    <w:rsid w:val="001F4319"/>
    <w:rsid w:val="001F6EB0"/>
    <w:rsid w:val="00201074"/>
    <w:rsid w:val="00204E59"/>
    <w:rsid w:val="00215384"/>
    <w:rsid w:val="00215401"/>
    <w:rsid w:val="0021730F"/>
    <w:rsid w:val="0021772D"/>
    <w:rsid w:val="00221A69"/>
    <w:rsid w:val="00227CBA"/>
    <w:rsid w:val="00230363"/>
    <w:rsid w:val="00234500"/>
    <w:rsid w:val="00234A34"/>
    <w:rsid w:val="002428B9"/>
    <w:rsid w:val="002453F1"/>
    <w:rsid w:val="00253DBC"/>
    <w:rsid w:val="00256D70"/>
    <w:rsid w:val="00257C6B"/>
    <w:rsid w:val="00260418"/>
    <w:rsid w:val="002612FA"/>
    <w:rsid w:val="00261527"/>
    <w:rsid w:val="00263580"/>
    <w:rsid w:val="00263F9B"/>
    <w:rsid w:val="00270445"/>
    <w:rsid w:val="0027480B"/>
    <w:rsid w:val="00280C2B"/>
    <w:rsid w:val="002813A9"/>
    <w:rsid w:val="002820FE"/>
    <w:rsid w:val="00291A66"/>
    <w:rsid w:val="00292F4C"/>
    <w:rsid w:val="00293DCF"/>
    <w:rsid w:val="002947D5"/>
    <w:rsid w:val="00297314"/>
    <w:rsid w:val="0029757E"/>
    <w:rsid w:val="002B045D"/>
    <w:rsid w:val="002B2C83"/>
    <w:rsid w:val="002B58F4"/>
    <w:rsid w:val="002B5A8F"/>
    <w:rsid w:val="002B6886"/>
    <w:rsid w:val="002B7AC7"/>
    <w:rsid w:val="002C1A44"/>
    <w:rsid w:val="002C68D5"/>
    <w:rsid w:val="002C72EA"/>
    <w:rsid w:val="002E0120"/>
    <w:rsid w:val="002F6CBA"/>
    <w:rsid w:val="002F7841"/>
    <w:rsid w:val="00300BD2"/>
    <w:rsid w:val="0030481D"/>
    <w:rsid w:val="00311EC2"/>
    <w:rsid w:val="00314618"/>
    <w:rsid w:val="00314815"/>
    <w:rsid w:val="00320DB3"/>
    <w:rsid w:val="003222AF"/>
    <w:rsid w:val="00327239"/>
    <w:rsid w:val="00332331"/>
    <w:rsid w:val="003325DF"/>
    <w:rsid w:val="00332B92"/>
    <w:rsid w:val="00333353"/>
    <w:rsid w:val="0033353E"/>
    <w:rsid w:val="00341DBA"/>
    <w:rsid w:val="00354532"/>
    <w:rsid w:val="00354B59"/>
    <w:rsid w:val="00362734"/>
    <w:rsid w:val="00373B12"/>
    <w:rsid w:val="00380DEE"/>
    <w:rsid w:val="00382B75"/>
    <w:rsid w:val="00384CDB"/>
    <w:rsid w:val="00385A7A"/>
    <w:rsid w:val="00392CEA"/>
    <w:rsid w:val="00394BE2"/>
    <w:rsid w:val="00395A57"/>
    <w:rsid w:val="00395BB0"/>
    <w:rsid w:val="003A10B6"/>
    <w:rsid w:val="003A5BD8"/>
    <w:rsid w:val="003B07A1"/>
    <w:rsid w:val="003B24AB"/>
    <w:rsid w:val="003B6ABB"/>
    <w:rsid w:val="003B76B4"/>
    <w:rsid w:val="003C6FFB"/>
    <w:rsid w:val="003C77CF"/>
    <w:rsid w:val="003D3758"/>
    <w:rsid w:val="003D7AF0"/>
    <w:rsid w:val="003E115E"/>
    <w:rsid w:val="003E3D6C"/>
    <w:rsid w:val="003F0FEF"/>
    <w:rsid w:val="003F608E"/>
    <w:rsid w:val="004029F4"/>
    <w:rsid w:val="0040577E"/>
    <w:rsid w:val="00407AEA"/>
    <w:rsid w:val="00411A9C"/>
    <w:rsid w:val="0041327B"/>
    <w:rsid w:val="00416814"/>
    <w:rsid w:val="00416962"/>
    <w:rsid w:val="00417488"/>
    <w:rsid w:val="004221DC"/>
    <w:rsid w:val="00424BC3"/>
    <w:rsid w:val="00426537"/>
    <w:rsid w:val="00433CE8"/>
    <w:rsid w:val="00433D72"/>
    <w:rsid w:val="00434A7F"/>
    <w:rsid w:val="00434C96"/>
    <w:rsid w:val="0044097B"/>
    <w:rsid w:val="0045075D"/>
    <w:rsid w:val="004520F8"/>
    <w:rsid w:val="004543A6"/>
    <w:rsid w:val="00456C17"/>
    <w:rsid w:val="00457797"/>
    <w:rsid w:val="00457F6E"/>
    <w:rsid w:val="004602CC"/>
    <w:rsid w:val="00463EDD"/>
    <w:rsid w:val="0046434A"/>
    <w:rsid w:val="004655B0"/>
    <w:rsid w:val="00467E2A"/>
    <w:rsid w:val="004759FA"/>
    <w:rsid w:val="00477111"/>
    <w:rsid w:val="00486142"/>
    <w:rsid w:val="00493F18"/>
    <w:rsid w:val="004969D1"/>
    <w:rsid w:val="00497EC8"/>
    <w:rsid w:val="004A1951"/>
    <w:rsid w:val="004A1DCB"/>
    <w:rsid w:val="004A42CD"/>
    <w:rsid w:val="004B7C2E"/>
    <w:rsid w:val="004C0C11"/>
    <w:rsid w:val="004C2378"/>
    <w:rsid w:val="004C2600"/>
    <w:rsid w:val="004C36BE"/>
    <w:rsid w:val="004D0995"/>
    <w:rsid w:val="004E0582"/>
    <w:rsid w:val="004E1498"/>
    <w:rsid w:val="004E1B7D"/>
    <w:rsid w:val="004E5A74"/>
    <w:rsid w:val="004E7445"/>
    <w:rsid w:val="004E7F24"/>
    <w:rsid w:val="004F10B3"/>
    <w:rsid w:val="004F3546"/>
    <w:rsid w:val="00501CE8"/>
    <w:rsid w:val="005024E1"/>
    <w:rsid w:val="00502ACB"/>
    <w:rsid w:val="00515741"/>
    <w:rsid w:val="00520BED"/>
    <w:rsid w:val="005346D6"/>
    <w:rsid w:val="005401B2"/>
    <w:rsid w:val="005439C1"/>
    <w:rsid w:val="00544A95"/>
    <w:rsid w:val="00545804"/>
    <w:rsid w:val="00547763"/>
    <w:rsid w:val="00551EC3"/>
    <w:rsid w:val="005523EE"/>
    <w:rsid w:val="00552AC7"/>
    <w:rsid w:val="00555281"/>
    <w:rsid w:val="00557977"/>
    <w:rsid w:val="00561C99"/>
    <w:rsid w:val="0056623E"/>
    <w:rsid w:val="005707DC"/>
    <w:rsid w:val="00571094"/>
    <w:rsid w:val="00572CFF"/>
    <w:rsid w:val="005741A8"/>
    <w:rsid w:val="00577429"/>
    <w:rsid w:val="00580317"/>
    <w:rsid w:val="005813F1"/>
    <w:rsid w:val="00582D6C"/>
    <w:rsid w:val="005839A5"/>
    <w:rsid w:val="00585CB0"/>
    <w:rsid w:val="005905E9"/>
    <w:rsid w:val="00591AD2"/>
    <w:rsid w:val="00596C71"/>
    <w:rsid w:val="005A0B9C"/>
    <w:rsid w:val="005A31EF"/>
    <w:rsid w:val="005A6672"/>
    <w:rsid w:val="005B1701"/>
    <w:rsid w:val="005B3FAD"/>
    <w:rsid w:val="005B70A2"/>
    <w:rsid w:val="005C2B81"/>
    <w:rsid w:val="005C3261"/>
    <w:rsid w:val="005C3749"/>
    <w:rsid w:val="005C5472"/>
    <w:rsid w:val="005C7C5C"/>
    <w:rsid w:val="005D48E4"/>
    <w:rsid w:val="005E23DE"/>
    <w:rsid w:val="005E3373"/>
    <w:rsid w:val="005E5B95"/>
    <w:rsid w:val="00602867"/>
    <w:rsid w:val="00603EE8"/>
    <w:rsid w:val="00604F93"/>
    <w:rsid w:val="00605F4E"/>
    <w:rsid w:val="00610EC5"/>
    <w:rsid w:val="00620349"/>
    <w:rsid w:val="00620F2B"/>
    <w:rsid w:val="006216A1"/>
    <w:rsid w:val="00621DB7"/>
    <w:rsid w:val="00622A67"/>
    <w:rsid w:val="006234A1"/>
    <w:rsid w:val="00626565"/>
    <w:rsid w:val="00630A50"/>
    <w:rsid w:val="0063181F"/>
    <w:rsid w:val="00631F7C"/>
    <w:rsid w:val="00633A10"/>
    <w:rsid w:val="006348B1"/>
    <w:rsid w:val="0063509D"/>
    <w:rsid w:val="00637357"/>
    <w:rsid w:val="0063794D"/>
    <w:rsid w:val="00642592"/>
    <w:rsid w:val="00642D75"/>
    <w:rsid w:val="00654B86"/>
    <w:rsid w:val="00654CFE"/>
    <w:rsid w:val="00661FA6"/>
    <w:rsid w:val="00663128"/>
    <w:rsid w:val="006649FE"/>
    <w:rsid w:val="00664BD9"/>
    <w:rsid w:val="00666F56"/>
    <w:rsid w:val="00670080"/>
    <w:rsid w:val="00670801"/>
    <w:rsid w:val="00693868"/>
    <w:rsid w:val="0069510C"/>
    <w:rsid w:val="006960A0"/>
    <w:rsid w:val="0069690F"/>
    <w:rsid w:val="006A235B"/>
    <w:rsid w:val="006A4F85"/>
    <w:rsid w:val="006B192A"/>
    <w:rsid w:val="006C37DB"/>
    <w:rsid w:val="006C5696"/>
    <w:rsid w:val="006D5209"/>
    <w:rsid w:val="006E2C53"/>
    <w:rsid w:val="006E46B2"/>
    <w:rsid w:val="006E54D3"/>
    <w:rsid w:val="006F075A"/>
    <w:rsid w:val="006F1EA3"/>
    <w:rsid w:val="006F35C2"/>
    <w:rsid w:val="006F6512"/>
    <w:rsid w:val="006F7058"/>
    <w:rsid w:val="00701336"/>
    <w:rsid w:val="00701C38"/>
    <w:rsid w:val="007039AB"/>
    <w:rsid w:val="00707423"/>
    <w:rsid w:val="00711639"/>
    <w:rsid w:val="00712409"/>
    <w:rsid w:val="007125C4"/>
    <w:rsid w:val="007145CD"/>
    <w:rsid w:val="00715718"/>
    <w:rsid w:val="00715737"/>
    <w:rsid w:val="00720B7F"/>
    <w:rsid w:val="00734578"/>
    <w:rsid w:val="00734864"/>
    <w:rsid w:val="00736A07"/>
    <w:rsid w:val="00736AB2"/>
    <w:rsid w:val="00737E8C"/>
    <w:rsid w:val="00742550"/>
    <w:rsid w:val="00750E2B"/>
    <w:rsid w:val="00761A00"/>
    <w:rsid w:val="0076368E"/>
    <w:rsid w:val="00767AFC"/>
    <w:rsid w:val="007703A6"/>
    <w:rsid w:val="00771919"/>
    <w:rsid w:val="00772716"/>
    <w:rsid w:val="007733B6"/>
    <w:rsid w:val="00781546"/>
    <w:rsid w:val="007819BB"/>
    <w:rsid w:val="00791BA0"/>
    <w:rsid w:val="007925CA"/>
    <w:rsid w:val="00795063"/>
    <w:rsid w:val="00797AAD"/>
    <w:rsid w:val="007A0138"/>
    <w:rsid w:val="007A4577"/>
    <w:rsid w:val="007B0419"/>
    <w:rsid w:val="007B355A"/>
    <w:rsid w:val="007B661D"/>
    <w:rsid w:val="007B67AE"/>
    <w:rsid w:val="007B7C8E"/>
    <w:rsid w:val="007C3807"/>
    <w:rsid w:val="007C55D4"/>
    <w:rsid w:val="007D1AB4"/>
    <w:rsid w:val="007D7F31"/>
    <w:rsid w:val="007E1842"/>
    <w:rsid w:val="007E3C80"/>
    <w:rsid w:val="007E3D8B"/>
    <w:rsid w:val="007E51C6"/>
    <w:rsid w:val="007F3329"/>
    <w:rsid w:val="007F3AF3"/>
    <w:rsid w:val="00804425"/>
    <w:rsid w:val="00805E0A"/>
    <w:rsid w:val="008070D8"/>
    <w:rsid w:val="00811860"/>
    <w:rsid w:val="00814EFA"/>
    <w:rsid w:val="008224D9"/>
    <w:rsid w:val="008306DE"/>
    <w:rsid w:val="00832FFA"/>
    <w:rsid w:val="00840FA2"/>
    <w:rsid w:val="0085427A"/>
    <w:rsid w:val="00854588"/>
    <w:rsid w:val="0086061E"/>
    <w:rsid w:val="00860B9F"/>
    <w:rsid w:val="008624B1"/>
    <w:rsid w:val="0087040A"/>
    <w:rsid w:val="0087414F"/>
    <w:rsid w:val="00880948"/>
    <w:rsid w:val="00880FD9"/>
    <w:rsid w:val="00884DE4"/>
    <w:rsid w:val="00891A13"/>
    <w:rsid w:val="00892E07"/>
    <w:rsid w:val="008931CD"/>
    <w:rsid w:val="00893C0A"/>
    <w:rsid w:val="00896219"/>
    <w:rsid w:val="00897EC5"/>
    <w:rsid w:val="008A114A"/>
    <w:rsid w:val="008A2626"/>
    <w:rsid w:val="008B1B0B"/>
    <w:rsid w:val="008B313F"/>
    <w:rsid w:val="008B6787"/>
    <w:rsid w:val="008C156E"/>
    <w:rsid w:val="008C24CE"/>
    <w:rsid w:val="008C3045"/>
    <w:rsid w:val="008C5003"/>
    <w:rsid w:val="008C56B9"/>
    <w:rsid w:val="008C5D82"/>
    <w:rsid w:val="008D0683"/>
    <w:rsid w:val="008D2061"/>
    <w:rsid w:val="008D6B2B"/>
    <w:rsid w:val="008D7998"/>
    <w:rsid w:val="008E1AF1"/>
    <w:rsid w:val="008E2005"/>
    <w:rsid w:val="008E307A"/>
    <w:rsid w:val="008E4D9A"/>
    <w:rsid w:val="008F1093"/>
    <w:rsid w:val="008F116A"/>
    <w:rsid w:val="008F182E"/>
    <w:rsid w:val="008F2C9D"/>
    <w:rsid w:val="008F3327"/>
    <w:rsid w:val="008F4203"/>
    <w:rsid w:val="008F70D4"/>
    <w:rsid w:val="008F73F7"/>
    <w:rsid w:val="008F7511"/>
    <w:rsid w:val="008F7990"/>
    <w:rsid w:val="00906455"/>
    <w:rsid w:val="00906512"/>
    <w:rsid w:val="00910208"/>
    <w:rsid w:val="009113CA"/>
    <w:rsid w:val="00912E64"/>
    <w:rsid w:val="009144D4"/>
    <w:rsid w:val="00915559"/>
    <w:rsid w:val="009159BB"/>
    <w:rsid w:val="00915FDE"/>
    <w:rsid w:val="00916E2C"/>
    <w:rsid w:val="00920B13"/>
    <w:rsid w:val="00927381"/>
    <w:rsid w:val="00932D12"/>
    <w:rsid w:val="00932F16"/>
    <w:rsid w:val="0093762D"/>
    <w:rsid w:val="00940949"/>
    <w:rsid w:val="00944C06"/>
    <w:rsid w:val="009520A8"/>
    <w:rsid w:val="009523F5"/>
    <w:rsid w:val="0095350E"/>
    <w:rsid w:val="0095677C"/>
    <w:rsid w:val="00957BD8"/>
    <w:rsid w:val="0096065D"/>
    <w:rsid w:val="009629FC"/>
    <w:rsid w:val="00965163"/>
    <w:rsid w:val="00970E95"/>
    <w:rsid w:val="0097427D"/>
    <w:rsid w:val="00976BAE"/>
    <w:rsid w:val="00983AE4"/>
    <w:rsid w:val="00991731"/>
    <w:rsid w:val="009962E3"/>
    <w:rsid w:val="009A014F"/>
    <w:rsid w:val="009A0A63"/>
    <w:rsid w:val="009A1726"/>
    <w:rsid w:val="009A2112"/>
    <w:rsid w:val="009A618C"/>
    <w:rsid w:val="009B1A7B"/>
    <w:rsid w:val="009B2006"/>
    <w:rsid w:val="009B3091"/>
    <w:rsid w:val="009C4DBC"/>
    <w:rsid w:val="009C678C"/>
    <w:rsid w:val="009C7C36"/>
    <w:rsid w:val="009D1ED4"/>
    <w:rsid w:val="009E102E"/>
    <w:rsid w:val="009F117F"/>
    <w:rsid w:val="009F4597"/>
    <w:rsid w:val="009F506A"/>
    <w:rsid w:val="00A003D3"/>
    <w:rsid w:val="00A0358A"/>
    <w:rsid w:val="00A06FEC"/>
    <w:rsid w:val="00A111EF"/>
    <w:rsid w:val="00A11D93"/>
    <w:rsid w:val="00A13DAD"/>
    <w:rsid w:val="00A2315D"/>
    <w:rsid w:val="00A25FC9"/>
    <w:rsid w:val="00A317A3"/>
    <w:rsid w:val="00A44AE5"/>
    <w:rsid w:val="00A50FAE"/>
    <w:rsid w:val="00A51122"/>
    <w:rsid w:val="00A523CD"/>
    <w:rsid w:val="00A5595C"/>
    <w:rsid w:val="00A57871"/>
    <w:rsid w:val="00A60E51"/>
    <w:rsid w:val="00A6227B"/>
    <w:rsid w:val="00A63B67"/>
    <w:rsid w:val="00A66E55"/>
    <w:rsid w:val="00A80508"/>
    <w:rsid w:val="00A86512"/>
    <w:rsid w:val="00A86F6E"/>
    <w:rsid w:val="00A94112"/>
    <w:rsid w:val="00A96D71"/>
    <w:rsid w:val="00A96F1E"/>
    <w:rsid w:val="00A972E4"/>
    <w:rsid w:val="00A97839"/>
    <w:rsid w:val="00AA52F9"/>
    <w:rsid w:val="00AB0FBA"/>
    <w:rsid w:val="00AB1810"/>
    <w:rsid w:val="00AB1AF3"/>
    <w:rsid w:val="00AC1710"/>
    <w:rsid w:val="00AC3EEE"/>
    <w:rsid w:val="00AC4FCA"/>
    <w:rsid w:val="00AC675E"/>
    <w:rsid w:val="00AE5262"/>
    <w:rsid w:val="00AE657B"/>
    <w:rsid w:val="00B07994"/>
    <w:rsid w:val="00B10FD1"/>
    <w:rsid w:val="00B13A81"/>
    <w:rsid w:val="00B13C82"/>
    <w:rsid w:val="00B15497"/>
    <w:rsid w:val="00B22126"/>
    <w:rsid w:val="00B22D26"/>
    <w:rsid w:val="00B2510C"/>
    <w:rsid w:val="00B26E34"/>
    <w:rsid w:val="00B26E51"/>
    <w:rsid w:val="00B33875"/>
    <w:rsid w:val="00B34259"/>
    <w:rsid w:val="00B34729"/>
    <w:rsid w:val="00B348CF"/>
    <w:rsid w:val="00B36105"/>
    <w:rsid w:val="00B37CD8"/>
    <w:rsid w:val="00B41282"/>
    <w:rsid w:val="00B42DB3"/>
    <w:rsid w:val="00B51E45"/>
    <w:rsid w:val="00B5223E"/>
    <w:rsid w:val="00B541E2"/>
    <w:rsid w:val="00B5574D"/>
    <w:rsid w:val="00B64AC2"/>
    <w:rsid w:val="00B700D8"/>
    <w:rsid w:val="00B70B56"/>
    <w:rsid w:val="00B71D0D"/>
    <w:rsid w:val="00B721D7"/>
    <w:rsid w:val="00B74241"/>
    <w:rsid w:val="00B757AD"/>
    <w:rsid w:val="00B81422"/>
    <w:rsid w:val="00B84356"/>
    <w:rsid w:val="00B87360"/>
    <w:rsid w:val="00B90AD6"/>
    <w:rsid w:val="00B912BE"/>
    <w:rsid w:val="00B918A0"/>
    <w:rsid w:val="00B92D52"/>
    <w:rsid w:val="00BA6887"/>
    <w:rsid w:val="00BB1DF4"/>
    <w:rsid w:val="00BB23FF"/>
    <w:rsid w:val="00BB4E0B"/>
    <w:rsid w:val="00BB733E"/>
    <w:rsid w:val="00BB7F87"/>
    <w:rsid w:val="00BD188D"/>
    <w:rsid w:val="00BD4D35"/>
    <w:rsid w:val="00BE04CA"/>
    <w:rsid w:val="00BE1475"/>
    <w:rsid w:val="00BE1D2F"/>
    <w:rsid w:val="00BE5E51"/>
    <w:rsid w:val="00BF3379"/>
    <w:rsid w:val="00BF3CBC"/>
    <w:rsid w:val="00BF7089"/>
    <w:rsid w:val="00C00985"/>
    <w:rsid w:val="00C04AC1"/>
    <w:rsid w:val="00C052E5"/>
    <w:rsid w:val="00C06562"/>
    <w:rsid w:val="00C06904"/>
    <w:rsid w:val="00C105EB"/>
    <w:rsid w:val="00C10799"/>
    <w:rsid w:val="00C11FE0"/>
    <w:rsid w:val="00C16667"/>
    <w:rsid w:val="00C21023"/>
    <w:rsid w:val="00C30D1A"/>
    <w:rsid w:val="00C32F65"/>
    <w:rsid w:val="00C51770"/>
    <w:rsid w:val="00C53144"/>
    <w:rsid w:val="00C546AC"/>
    <w:rsid w:val="00C5529C"/>
    <w:rsid w:val="00C75FB5"/>
    <w:rsid w:val="00C82C1B"/>
    <w:rsid w:val="00C83876"/>
    <w:rsid w:val="00C84755"/>
    <w:rsid w:val="00C86394"/>
    <w:rsid w:val="00C865BB"/>
    <w:rsid w:val="00C8774F"/>
    <w:rsid w:val="00C90C51"/>
    <w:rsid w:val="00C91683"/>
    <w:rsid w:val="00C9272C"/>
    <w:rsid w:val="00C92993"/>
    <w:rsid w:val="00C97D83"/>
    <w:rsid w:val="00CA6EA7"/>
    <w:rsid w:val="00CB1FA5"/>
    <w:rsid w:val="00CB61A0"/>
    <w:rsid w:val="00CC2DA3"/>
    <w:rsid w:val="00CD49E5"/>
    <w:rsid w:val="00CD72C4"/>
    <w:rsid w:val="00CD7B0E"/>
    <w:rsid w:val="00CE2085"/>
    <w:rsid w:val="00CE2225"/>
    <w:rsid w:val="00CE77B8"/>
    <w:rsid w:val="00CF1A04"/>
    <w:rsid w:val="00CF272D"/>
    <w:rsid w:val="00CF3E33"/>
    <w:rsid w:val="00CF53D6"/>
    <w:rsid w:val="00D02EB7"/>
    <w:rsid w:val="00D03C38"/>
    <w:rsid w:val="00D03CD9"/>
    <w:rsid w:val="00D042B4"/>
    <w:rsid w:val="00D05619"/>
    <w:rsid w:val="00D134B6"/>
    <w:rsid w:val="00D141CC"/>
    <w:rsid w:val="00D16BB5"/>
    <w:rsid w:val="00D17CEB"/>
    <w:rsid w:val="00D20374"/>
    <w:rsid w:val="00D30A1E"/>
    <w:rsid w:val="00D33F29"/>
    <w:rsid w:val="00D356C0"/>
    <w:rsid w:val="00D37D20"/>
    <w:rsid w:val="00D418B4"/>
    <w:rsid w:val="00D456EB"/>
    <w:rsid w:val="00D46399"/>
    <w:rsid w:val="00D600B6"/>
    <w:rsid w:val="00D674CA"/>
    <w:rsid w:val="00D72CC7"/>
    <w:rsid w:val="00D755E9"/>
    <w:rsid w:val="00D768B0"/>
    <w:rsid w:val="00D818F0"/>
    <w:rsid w:val="00D83AD0"/>
    <w:rsid w:val="00D86E05"/>
    <w:rsid w:val="00D9028E"/>
    <w:rsid w:val="00D91080"/>
    <w:rsid w:val="00DA18A2"/>
    <w:rsid w:val="00DA5F10"/>
    <w:rsid w:val="00DA603F"/>
    <w:rsid w:val="00DB294B"/>
    <w:rsid w:val="00DB369F"/>
    <w:rsid w:val="00DB4E58"/>
    <w:rsid w:val="00DB68B7"/>
    <w:rsid w:val="00DB6C89"/>
    <w:rsid w:val="00DB7FFC"/>
    <w:rsid w:val="00DC20A0"/>
    <w:rsid w:val="00DC3DF4"/>
    <w:rsid w:val="00DD4D77"/>
    <w:rsid w:val="00DE130D"/>
    <w:rsid w:val="00DE32D0"/>
    <w:rsid w:val="00DE6311"/>
    <w:rsid w:val="00DF162C"/>
    <w:rsid w:val="00DF4B65"/>
    <w:rsid w:val="00DF6657"/>
    <w:rsid w:val="00E0243B"/>
    <w:rsid w:val="00E10F4A"/>
    <w:rsid w:val="00E1302B"/>
    <w:rsid w:val="00E15460"/>
    <w:rsid w:val="00E17B7F"/>
    <w:rsid w:val="00E234AB"/>
    <w:rsid w:val="00E24913"/>
    <w:rsid w:val="00E3354D"/>
    <w:rsid w:val="00E33C39"/>
    <w:rsid w:val="00E43AA5"/>
    <w:rsid w:val="00E43AD3"/>
    <w:rsid w:val="00E45A5B"/>
    <w:rsid w:val="00E45A91"/>
    <w:rsid w:val="00E45B31"/>
    <w:rsid w:val="00E51E44"/>
    <w:rsid w:val="00E5401B"/>
    <w:rsid w:val="00E542E3"/>
    <w:rsid w:val="00E560A3"/>
    <w:rsid w:val="00E5728A"/>
    <w:rsid w:val="00E574CD"/>
    <w:rsid w:val="00E67254"/>
    <w:rsid w:val="00E73A17"/>
    <w:rsid w:val="00E7649D"/>
    <w:rsid w:val="00E8337D"/>
    <w:rsid w:val="00E83D47"/>
    <w:rsid w:val="00E9402E"/>
    <w:rsid w:val="00E96DE8"/>
    <w:rsid w:val="00EA03A1"/>
    <w:rsid w:val="00EA0551"/>
    <w:rsid w:val="00EA0F8A"/>
    <w:rsid w:val="00EA108C"/>
    <w:rsid w:val="00EA134D"/>
    <w:rsid w:val="00EA197B"/>
    <w:rsid w:val="00EA1EC9"/>
    <w:rsid w:val="00EA5DA9"/>
    <w:rsid w:val="00EB0601"/>
    <w:rsid w:val="00EB1CFE"/>
    <w:rsid w:val="00EC01C3"/>
    <w:rsid w:val="00EC044D"/>
    <w:rsid w:val="00EC1E0D"/>
    <w:rsid w:val="00EC610C"/>
    <w:rsid w:val="00ED0308"/>
    <w:rsid w:val="00ED41AA"/>
    <w:rsid w:val="00ED7B14"/>
    <w:rsid w:val="00EE6462"/>
    <w:rsid w:val="00EE7B8D"/>
    <w:rsid w:val="00EF2E91"/>
    <w:rsid w:val="00EF5651"/>
    <w:rsid w:val="00F0087D"/>
    <w:rsid w:val="00F01AE6"/>
    <w:rsid w:val="00F03C16"/>
    <w:rsid w:val="00F06175"/>
    <w:rsid w:val="00F10D91"/>
    <w:rsid w:val="00F25DBB"/>
    <w:rsid w:val="00F2686D"/>
    <w:rsid w:val="00F33137"/>
    <w:rsid w:val="00F333CF"/>
    <w:rsid w:val="00F33E11"/>
    <w:rsid w:val="00F34B7D"/>
    <w:rsid w:val="00F37F3E"/>
    <w:rsid w:val="00F439E4"/>
    <w:rsid w:val="00F53111"/>
    <w:rsid w:val="00F5391D"/>
    <w:rsid w:val="00F53F91"/>
    <w:rsid w:val="00F55336"/>
    <w:rsid w:val="00F55D8C"/>
    <w:rsid w:val="00F57D83"/>
    <w:rsid w:val="00F617A0"/>
    <w:rsid w:val="00F67ECB"/>
    <w:rsid w:val="00F75879"/>
    <w:rsid w:val="00F80897"/>
    <w:rsid w:val="00F94C03"/>
    <w:rsid w:val="00FA1756"/>
    <w:rsid w:val="00FA1A4C"/>
    <w:rsid w:val="00FA2BF5"/>
    <w:rsid w:val="00FA52C0"/>
    <w:rsid w:val="00FB0625"/>
    <w:rsid w:val="00FB077D"/>
    <w:rsid w:val="00FB17F8"/>
    <w:rsid w:val="00FB3F34"/>
    <w:rsid w:val="00FB568F"/>
    <w:rsid w:val="00FB6F79"/>
    <w:rsid w:val="00FB7611"/>
    <w:rsid w:val="00FB7F8B"/>
    <w:rsid w:val="00FD123F"/>
    <w:rsid w:val="00FD130A"/>
    <w:rsid w:val="00FD178E"/>
    <w:rsid w:val="00FD2014"/>
    <w:rsid w:val="00FD6BA2"/>
    <w:rsid w:val="00FD753C"/>
    <w:rsid w:val="00FE14B2"/>
    <w:rsid w:val="00FF5763"/>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975F94E6-1914-4802-AFCD-0482B9BD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E8"/>
  </w:style>
  <w:style w:type="paragraph" w:styleId="Heading1">
    <w:name w:val="heading 1"/>
    <w:basedOn w:val="Normal"/>
    <w:next w:val="Normal"/>
    <w:qFormat/>
    <w:rsid w:val="00433CE8"/>
    <w:pPr>
      <w:keepNext/>
      <w:jc w:val="center"/>
      <w:outlineLvl w:val="0"/>
    </w:pPr>
    <w:rPr>
      <w:rFonts w:ascii="Arial" w:hAnsi="Arial"/>
      <w:b/>
      <w:sz w:val="32"/>
    </w:rPr>
  </w:style>
  <w:style w:type="paragraph" w:styleId="Heading2">
    <w:name w:val="heading 2"/>
    <w:basedOn w:val="Normal"/>
    <w:next w:val="Normal"/>
    <w:qFormat/>
    <w:rsid w:val="00433CE8"/>
    <w:pPr>
      <w:keepNext/>
      <w:widowControl w:val="0"/>
      <w:outlineLvl w:val="1"/>
    </w:pPr>
    <w:rPr>
      <w:rFonts w:ascii="Arial" w:hAnsi="Arial"/>
      <w:b/>
    </w:rPr>
  </w:style>
  <w:style w:type="paragraph" w:styleId="Heading3">
    <w:name w:val="heading 3"/>
    <w:basedOn w:val="Normal"/>
    <w:next w:val="Normal"/>
    <w:qFormat/>
    <w:rsid w:val="00433CE8"/>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33CE8"/>
  </w:style>
  <w:style w:type="paragraph" w:styleId="BodyText">
    <w:name w:val="Body Text"/>
    <w:basedOn w:val="Normal"/>
    <w:rsid w:val="00433CE8"/>
    <w:pPr>
      <w:widowControl w:val="0"/>
    </w:pPr>
    <w:rPr>
      <w:rFonts w:ascii="Arial" w:hAnsi="Arial"/>
      <w:sz w:val="24"/>
    </w:rPr>
  </w:style>
  <w:style w:type="character" w:styleId="Hyperlink">
    <w:name w:val="Hyperlink"/>
    <w:basedOn w:val="DefaultParagraphFont"/>
    <w:rsid w:val="00433CE8"/>
    <w:rPr>
      <w:color w:val="0000FF"/>
      <w:u w:val="single"/>
    </w:rPr>
  </w:style>
  <w:style w:type="paragraph" w:styleId="BodyTextIndent">
    <w:name w:val="Body Text Indent"/>
    <w:basedOn w:val="Normal"/>
    <w:rsid w:val="00433CE8"/>
    <w:pPr>
      <w:widowControl w:val="0"/>
      <w:tabs>
        <w:tab w:val="left" w:pos="0"/>
        <w:tab w:val="left" w:pos="4590"/>
      </w:tabs>
      <w:suppressAutoHyphens/>
      <w:ind w:left="2160" w:hanging="2160"/>
    </w:pPr>
    <w:rPr>
      <w:rFonts w:ascii="Baskerville Win95BT" w:hAnsi="Baskerville Win95BT"/>
      <w:snapToGrid w:val="0"/>
    </w:rPr>
  </w:style>
  <w:style w:type="paragraph" w:styleId="BodyTextIndent2">
    <w:name w:val="Body Text Indent 2"/>
    <w:basedOn w:val="Normal"/>
    <w:rsid w:val="00433CE8"/>
    <w:pPr>
      <w:widowControl w:val="0"/>
      <w:tabs>
        <w:tab w:val="left" w:pos="0"/>
      </w:tabs>
      <w:suppressAutoHyphens/>
      <w:ind w:left="1890" w:hanging="2160"/>
    </w:pPr>
    <w:rPr>
      <w:rFonts w:ascii="Baskerville Win95BT" w:hAnsi="Baskerville Win95BT"/>
      <w:snapToGrid w:val="0"/>
    </w:rPr>
  </w:style>
  <w:style w:type="paragraph" w:styleId="BodyText2">
    <w:name w:val="Body Text 2"/>
    <w:basedOn w:val="Normal"/>
    <w:rsid w:val="00433CE8"/>
    <w:pPr>
      <w:widowControl w:val="0"/>
      <w:tabs>
        <w:tab w:val="left" w:pos="0"/>
      </w:tabs>
      <w:suppressAutoHyphens/>
    </w:pPr>
    <w:rPr>
      <w:rFonts w:ascii="CG Times (W1)" w:hAnsi="CG Times (W1)"/>
      <w:b/>
      <w:snapToGrid w:val="0"/>
    </w:rPr>
  </w:style>
  <w:style w:type="character" w:styleId="FollowedHyperlink">
    <w:name w:val="FollowedHyperlink"/>
    <w:basedOn w:val="DefaultParagraphFont"/>
    <w:rsid w:val="00433CE8"/>
    <w:rPr>
      <w:color w:val="800080"/>
      <w:u w:val="single"/>
    </w:rPr>
  </w:style>
  <w:style w:type="paragraph" w:styleId="BodyTextIndent3">
    <w:name w:val="Body Text Indent 3"/>
    <w:basedOn w:val="Normal"/>
    <w:rsid w:val="00433CE8"/>
    <w:pPr>
      <w:spacing w:line="240" w:lineRule="atLeast"/>
      <w:ind w:left="720"/>
    </w:pPr>
    <w:rPr>
      <w:color w:val="0000FF"/>
    </w:rPr>
  </w:style>
  <w:style w:type="paragraph" w:styleId="BalloonText">
    <w:name w:val="Balloon Text"/>
    <w:basedOn w:val="Normal"/>
    <w:semiHidden/>
    <w:rsid w:val="000A15DC"/>
    <w:rPr>
      <w:rFonts w:ascii="Tahoma" w:hAnsi="Tahoma" w:cs="Tahoma"/>
      <w:sz w:val="16"/>
      <w:szCs w:val="16"/>
    </w:rPr>
  </w:style>
  <w:style w:type="paragraph" w:styleId="Header">
    <w:name w:val="header"/>
    <w:basedOn w:val="Normal"/>
    <w:rsid w:val="00C546AC"/>
    <w:pPr>
      <w:tabs>
        <w:tab w:val="center" w:pos="4320"/>
        <w:tab w:val="right" w:pos="8640"/>
      </w:tabs>
    </w:pPr>
  </w:style>
  <w:style w:type="paragraph" w:styleId="Footer">
    <w:name w:val="footer"/>
    <w:basedOn w:val="Normal"/>
    <w:link w:val="FooterChar"/>
    <w:uiPriority w:val="99"/>
    <w:rsid w:val="00C546AC"/>
    <w:pPr>
      <w:tabs>
        <w:tab w:val="center" w:pos="4320"/>
        <w:tab w:val="right" w:pos="8640"/>
      </w:tabs>
    </w:pPr>
  </w:style>
  <w:style w:type="character" w:styleId="PageNumber">
    <w:name w:val="page number"/>
    <w:basedOn w:val="DefaultParagraphFont"/>
    <w:rsid w:val="00C546AC"/>
  </w:style>
  <w:style w:type="paragraph" w:styleId="ListParagraph">
    <w:name w:val="List Paragraph"/>
    <w:basedOn w:val="Normal"/>
    <w:uiPriority w:val="34"/>
    <w:qFormat/>
    <w:rsid w:val="00880948"/>
    <w:pPr>
      <w:ind w:left="720"/>
      <w:contextualSpacing/>
    </w:pPr>
  </w:style>
  <w:style w:type="character" w:styleId="CommentReference">
    <w:name w:val="annotation reference"/>
    <w:basedOn w:val="DefaultParagraphFont"/>
    <w:uiPriority w:val="99"/>
    <w:semiHidden/>
    <w:unhideWhenUsed/>
    <w:rsid w:val="00407AEA"/>
    <w:rPr>
      <w:sz w:val="16"/>
      <w:szCs w:val="16"/>
    </w:rPr>
  </w:style>
  <w:style w:type="paragraph" w:styleId="CommentText">
    <w:name w:val="annotation text"/>
    <w:basedOn w:val="Normal"/>
    <w:link w:val="CommentTextChar"/>
    <w:uiPriority w:val="99"/>
    <w:semiHidden/>
    <w:unhideWhenUsed/>
    <w:rsid w:val="00407AEA"/>
  </w:style>
  <w:style w:type="character" w:customStyle="1" w:styleId="CommentTextChar">
    <w:name w:val="Comment Text Char"/>
    <w:basedOn w:val="DefaultParagraphFont"/>
    <w:link w:val="CommentText"/>
    <w:uiPriority w:val="99"/>
    <w:semiHidden/>
    <w:rsid w:val="00407AEA"/>
  </w:style>
  <w:style w:type="paragraph" w:styleId="CommentSubject">
    <w:name w:val="annotation subject"/>
    <w:basedOn w:val="CommentText"/>
    <w:next w:val="CommentText"/>
    <w:link w:val="CommentSubjectChar"/>
    <w:uiPriority w:val="99"/>
    <w:semiHidden/>
    <w:unhideWhenUsed/>
    <w:rsid w:val="00407AEA"/>
    <w:rPr>
      <w:b/>
      <w:bCs/>
    </w:rPr>
  </w:style>
  <w:style w:type="character" w:customStyle="1" w:styleId="CommentSubjectChar">
    <w:name w:val="Comment Subject Char"/>
    <w:basedOn w:val="CommentTextChar"/>
    <w:link w:val="CommentSubject"/>
    <w:uiPriority w:val="99"/>
    <w:semiHidden/>
    <w:rsid w:val="00407AEA"/>
    <w:rPr>
      <w:b/>
      <w:bCs/>
    </w:rPr>
  </w:style>
  <w:style w:type="character" w:styleId="Emphasis">
    <w:name w:val="Emphasis"/>
    <w:basedOn w:val="DefaultParagraphFont"/>
    <w:uiPriority w:val="20"/>
    <w:qFormat/>
    <w:rsid w:val="00256D70"/>
    <w:rPr>
      <w:i/>
      <w:iCs/>
    </w:rPr>
  </w:style>
  <w:style w:type="paragraph" w:styleId="NoSpacing">
    <w:name w:val="No Spacing"/>
    <w:uiPriority w:val="1"/>
    <w:qFormat/>
    <w:rsid w:val="00701C38"/>
  </w:style>
  <w:style w:type="character" w:customStyle="1" w:styleId="FooterChar">
    <w:name w:val="Footer Char"/>
    <w:basedOn w:val="DefaultParagraphFont"/>
    <w:link w:val="Footer"/>
    <w:uiPriority w:val="99"/>
    <w:rsid w:val="001A7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263390">
      <w:bodyDiv w:val="1"/>
      <w:marLeft w:val="0"/>
      <w:marRight w:val="0"/>
      <w:marTop w:val="0"/>
      <w:marBottom w:val="0"/>
      <w:divBdr>
        <w:top w:val="none" w:sz="0" w:space="0" w:color="auto"/>
        <w:left w:val="none" w:sz="0" w:space="0" w:color="auto"/>
        <w:bottom w:val="none" w:sz="0" w:space="0" w:color="auto"/>
        <w:right w:val="none" w:sz="0" w:space="0" w:color="auto"/>
      </w:divBdr>
    </w:div>
    <w:div w:id="1456100940">
      <w:bodyDiv w:val="1"/>
      <w:marLeft w:val="0"/>
      <w:marRight w:val="0"/>
      <w:marTop w:val="0"/>
      <w:marBottom w:val="0"/>
      <w:divBdr>
        <w:top w:val="none" w:sz="0" w:space="0" w:color="auto"/>
        <w:left w:val="none" w:sz="0" w:space="0" w:color="auto"/>
        <w:bottom w:val="none" w:sz="0" w:space="0" w:color="auto"/>
        <w:right w:val="none" w:sz="0" w:space="0" w:color="auto"/>
      </w:divBdr>
    </w:div>
    <w:div w:id="1795710639">
      <w:bodyDiv w:val="1"/>
      <w:marLeft w:val="0"/>
      <w:marRight w:val="0"/>
      <w:marTop w:val="0"/>
      <w:marBottom w:val="0"/>
      <w:divBdr>
        <w:top w:val="none" w:sz="0" w:space="0" w:color="auto"/>
        <w:left w:val="none" w:sz="0" w:space="0" w:color="auto"/>
        <w:bottom w:val="none" w:sz="0" w:space="0" w:color="auto"/>
        <w:right w:val="none" w:sz="0" w:space="0" w:color="auto"/>
      </w:divBdr>
    </w:div>
    <w:div w:id="2013100769">
      <w:bodyDiv w:val="1"/>
      <w:marLeft w:val="0"/>
      <w:marRight w:val="0"/>
      <w:marTop w:val="0"/>
      <w:marBottom w:val="0"/>
      <w:divBdr>
        <w:top w:val="none" w:sz="0" w:space="0" w:color="auto"/>
        <w:left w:val="none" w:sz="0" w:space="0" w:color="auto"/>
        <w:bottom w:val="none" w:sz="0" w:space="0" w:color="auto"/>
        <w:right w:val="none" w:sz="0" w:space="0" w:color="auto"/>
      </w:divBdr>
    </w:div>
    <w:div w:id="20769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workday.wustl.edu/items/assign-costing-allocation/"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financialservices.wustl.edu/wp-content/uploads/2021/08/Salary-Cap-Calculator-WD.xlsx" TargetMode="External"/><Relationship Id="rId7" Type="http://schemas.openxmlformats.org/officeDocument/2006/relationships/endnotes" Target="endnotes.xml"/><Relationship Id="rId12" Type="http://schemas.openxmlformats.org/officeDocument/2006/relationships/hyperlink" Target="mailto:jgindhart@wustl.edu" TargetMode="External"/><Relationship Id="rId17" Type="http://schemas.openxmlformats.org/officeDocument/2006/relationships/hyperlink" Target="https://grants.nih.gov/grants/guide/notice-files/NOT-OD-16-045.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orkday.wustl.edu/items/assign-costing-allocatio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edithfey@wustl.edu"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hyperlink" Target="https://grants.nih.gov/grants/guide/notice-files/NOT-OD-22-076.html" TargetMode="External"/><Relationship Id="rId19" Type="http://schemas.openxmlformats.org/officeDocument/2006/relationships/hyperlink" Target="https://workday.wustl.edu/items/payroll-accounting-adjustments-guid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nancialservices.wustl.edu/wfin-topic/sponsored-projects-accounting/" TargetMode="External"/><Relationship Id="rId14" Type="http://schemas.openxmlformats.org/officeDocument/2006/relationships/header" Target="header2.xml"/><Relationship Id="rId22" Type="http://schemas.openxmlformats.org/officeDocument/2006/relationships/hyperlink" Target="https://financialservices.wustl.edu/wp-content/uploads/2022/02/Salary-Cap-Calculator-WD-203700.xlsx" TargetMode="External"/><Relationship Id="rId27" Type="http://schemas.openxmlformats.org/officeDocument/2006/relationships/header" Target="header7.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A0AF7-1B9F-4DAB-9A7C-4A83D4CB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Washington University in Saint Louis</Company>
  <LinksUpToDate>false</LinksUpToDate>
  <CharactersWithSpaces>10885</CharactersWithSpaces>
  <SharedDoc>false</SharedDoc>
  <HLinks>
    <vt:vector size="48" baseType="variant">
      <vt:variant>
        <vt:i4>4063298</vt:i4>
      </vt:variant>
      <vt:variant>
        <vt:i4>21</vt:i4>
      </vt:variant>
      <vt:variant>
        <vt:i4>0</vt:i4>
      </vt:variant>
      <vt:variant>
        <vt:i4>5</vt:i4>
      </vt:variant>
      <vt:variant>
        <vt:lpwstr>http://grants.nih.gov/grants/policy/salcap_summary.htm</vt:lpwstr>
      </vt:variant>
      <vt:variant>
        <vt:lpwstr/>
      </vt:variant>
      <vt:variant>
        <vt:i4>3670117</vt:i4>
      </vt:variant>
      <vt:variant>
        <vt:i4>18</vt:i4>
      </vt:variant>
      <vt:variant>
        <vt:i4>0</vt:i4>
      </vt:variant>
      <vt:variant>
        <vt:i4>5</vt:i4>
      </vt:variant>
      <vt:variant>
        <vt:lpwstr>http://grants.nih.gov/grants/guide/notice-files/NOT-OD-09-069.html</vt:lpwstr>
      </vt:variant>
      <vt:variant>
        <vt:lpwstr/>
      </vt:variant>
      <vt:variant>
        <vt:i4>7274578</vt:i4>
      </vt:variant>
      <vt:variant>
        <vt:i4>15</vt:i4>
      </vt:variant>
      <vt:variant>
        <vt:i4>0</vt:i4>
      </vt:variant>
      <vt:variant>
        <vt:i4>5</vt:i4>
      </vt:variant>
      <vt:variant>
        <vt:lpwstr>http://www.spa.wustl.edu/training/pdf/nihsalcap_hrms.pdf</vt:lpwstr>
      </vt:variant>
      <vt:variant>
        <vt:lpwstr/>
      </vt:variant>
      <vt:variant>
        <vt:i4>2293867</vt:i4>
      </vt:variant>
      <vt:variant>
        <vt:i4>12</vt:i4>
      </vt:variant>
      <vt:variant>
        <vt:i4>0</vt:i4>
      </vt:variant>
      <vt:variant>
        <vt:i4>5</vt:i4>
      </vt:variant>
      <vt:variant>
        <vt:lpwstr>http://spa.wustl.edu/forms.htm</vt:lpwstr>
      </vt:variant>
      <vt:variant>
        <vt:lpwstr/>
      </vt:variant>
      <vt:variant>
        <vt:i4>6815826</vt:i4>
      </vt:variant>
      <vt:variant>
        <vt:i4>9</vt:i4>
      </vt:variant>
      <vt:variant>
        <vt:i4>0</vt:i4>
      </vt:variant>
      <vt:variant>
        <vt:i4>5</vt:i4>
      </vt:variant>
      <vt:variant>
        <vt:lpwstr>mailto:jgindhart@wustl.edu</vt:lpwstr>
      </vt:variant>
      <vt:variant>
        <vt:lpwstr/>
      </vt:variant>
      <vt:variant>
        <vt:i4>196668</vt:i4>
      </vt:variant>
      <vt:variant>
        <vt:i4>6</vt:i4>
      </vt:variant>
      <vt:variant>
        <vt:i4>0</vt:i4>
      </vt:variant>
      <vt:variant>
        <vt:i4>5</vt:i4>
      </vt:variant>
      <vt:variant>
        <vt:lpwstr>mailto:kgross@wustl.edu</vt:lpwstr>
      </vt:variant>
      <vt:variant>
        <vt:lpwstr/>
      </vt:variant>
      <vt:variant>
        <vt:i4>3670117</vt:i4>
      </vt:variant>
      <vt:variant>
        <vt:i4>3</vt:i4>
      </vt:variant>
      <vt:variant>
        <vt:i4>0</vt:i4>
      </vt:variant>
      <vt:variant>
        <vt:i4>5</vt:i4>
      </vt:variant>
      <vt:variant>
        <vt:lpwstr>http://grants.nih.gov/grants/guide/notice-files/NOT-OD-09-069.html</vt:lpwstr>
      </vt:variant>
      <vt:variant>
        <vt:lpwstr/>
      </vt:variant>
      <vt:variant>
        <vt:i4>4259868</vt:i4>
      </vt:variant>
      <vt:variant>
        <vt:i4>0</vt:i4>
      </vt:variant>
      <vt:variant>
        <vt:i4>0</vt:i4>
      </vt:variant>
      <vt:variant>
        <vt:i4>5</vt:i4>
      </vt:variant>
      <vt:variant>
        <vt:lpwstr>http://spa.wustl.edu/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Customer</dc:creator>
  <cp:lastModifiedBy>Gianino, Molly</cp:lastModifiedBy>
  <cp:revision>2</cp:revision>
  <cp:lastPrinted>2021-02-01T20:38:00Z</cp:lastPrinted>
  <dcterms:created xsi:type="dcterms:W3CDTF">2022-02-24T21:31:00Z</dcterms:created>
  <dcterms:modified xsi:type="dcterms:W3CDTF">2022-02-24T21:31:00Z</dcterms:modified>
</cp:coreProperties>
</file>